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9A" w:rsidRPr="00EF39E2" w:rsidRDefault="00B9049A">
      <w:pPr>
        <w:spacing w:line="360"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p>
    <w:p w:rsidR="00B9049A" w:rsidRPr="00EF39E2" w:rsidRDefault="00B9049A">
      <w:pPr>
        <w:spacing w:line="360" w:lineRule="auto"/>
        <w:jc w:val="both"/>
        <w:rPr>
          <w:rFonts w:ascii="Tahoma" w:hAnsi="Tahoma" w:cs="Tahoma"/>
          <w:sz w:val="22"/>
          <w:szCs w:val="22"/>
        </w:rPr>
      </w:pPr>
    </w:p>
    <w:p w:rsidR="00B9049A" w:rsidRPr="00EF39E2" w:rsidRDefault="00B9049A">
      <w:pPr>
        <w:spacing w:line="360" w:lineRule="auto"/>
        <w:jc w:val="both"/>
        <w:rPr>
          <w:rFonts w:ascii="Tahoma" w:hAnsi="Tahoma" w:cs="Tahoma"/>
          <w:sz w:val="22"/>
          <w:szCs w:val="22"/>
        </w:rPr>
      </w:pPr>
    </w:p>
    <w:p w:rsidR="00B9049A" w:rsidRPr="00EF39E2" w:rsidRDefault="00B9049A">
      <w:pPr>
        <w:spacing w:line="360" w:lineRule="auto"/>
        <w:jc w:val="both"/>
        <w:rPr>
          <w:rFonts w:ascii="Tahoma" w:hAnsi="Tahoma" w:cs="Tahoma"/>
          <w:sz w:val="22"/>
          <w:szCs w:val="22"/>
        </w:rPr>
      </w:pPr>
    </w:p>
    <w:p w:rsidR="00B9049A" w:rsidRPr="00EF39E2" w:rsidRDefault="00B9049A">
      <w:pPr>
        <w:pStyle w:val="ANGELES"/>
        <w:framePr w:wrap="auto"/>
        <w:pBdr>
          <w:top w:val="single" w:sz="36" w:space="1" w:color="auto"/>
          <w:bottom w:val="single" w:sz="36" w:space="1" w:color="auto"/>
        </w:pBdr>
        <w:shd w:val="clear" w:color="auto" w:fill="0000FF"/>
        <w:rPr>
          <w:rFonts w:ascii="Tahoma" w:hAnsi="Tahoma" w:cs="Tahoma"/>
          <w:sz w:val="22"/>
          <w:szCs w:val="22"/>
        </w:rPr>
      </w:pPr>
    </w:p>
    <w:p w:rsidR="00B9049A" w:rsidRPr="00761786" w:rsidRDefault="00B9049A">
      <w:pPr>
        <w:pStyle w:val="ANGELES"/>
        <w:framePr w:wrap="auto"/>
        <w:pBdr>
          <w:top w:val="single" w:sz="36" w:space="1" w:color="auto"/>
          <w:bottom w:val="single" w:sz="36" w:space="1" w:color="auto"/>
        </w:pBdr>
        <w:shd w:val="clear" w:color="auto" w:fill="0000FF"/>
        <w:rPr>
          <w:rFonts w:ascii="Tahoma" w:hAnsi="Tahoma" w:cs="Tahoma"/>
          <w:color w:val="FFFFFF"/>
          <w:sz w:val="22"/>
          <w:szCs w:val="22"/>
        </w:rPr>
      </w:pPr>
      <w:r w:rsidRPr="00761786">
        <w:rPr>
          <w:rFonts w:ascii="Tahoma" w:hAnsi="Tahoma" w:cs="Tahoma"/>
          <w:color w:val="FFFFFF"/>
          <w:sz w:val="22"/>
          <w:szCs w:val="22"/>
        </w:rPr>
        <w:t>INFORME FINANCIERO</w:t>
      </w:r>
    </w:p>
    <w:p w:rsidR="00B9049A" w:rsidRPr="00EF39E2" w:rsidRDefault="00B9049A">
      <w:pPr>
        <w:spacing w:line="360" w:lineRule="auto"/>
        <w:jc w:val="both"/>
        <w:rPr>
          <w:rFonts w:ascii="Tahoma" w:hAnsi="Tahoma" w:cs="Tahoma"/>
          <w:sz w:val="22"/>
          <w:szCs w:val="22"/>
        </w:rPr>
      </w:pPr>
    </w:p>
    <w:p w:rsidR="00B9049A" w:rsidRDefault="00B9049A" w:rsidP="0014417D">
      <w:pPr>
        <w:autoSpaceDE w:val="0"/>
        <w:autoSpaceDN w:val="0"/>
        <w:adjustRightInd w:val="0"/>
        <w:spacing w:line="360" w:lineRule="auto"/>
        <w:jc w:val="both"/>
        <w:rPr>
          <w:rFonts w:ascii="Tahoma" w:hAnsi="Tahoma" w:cs="Tahoma"/>
          <w:sz w:val="22"/>
          <w:szCs w:val="22"/>
        </w:rPr>
      </w:pPr>
      <w:r w:rsidRPr="00EF39E2">
        <w:rPr>
          <w:rFonts w:ascii="Tahoma" w:hAnsi="Tahoma" w:cs="Tahoma"/>
          <w:sz w:val="22"/>
          <w:szCs w:val="22"/>
        </w:rPr>
        <w:br w:type="page"/>
      </w:r>
    </w:p>
    <w:p w:rsidR="00B9049A" w:rsidRPr="009C7378" w:rsidRDefault="00B9049A" w:rsidP="0014417D">
      <w:pPr>
        <w:autoSpaceDE w:val="0"/>
        <w:autoSpaceDN w:val="0"/>
        <w:adjustRightInd w:val="0"/>
        <w:spacing w:line="360" w:lineRule="auto"/>
        <w:jc w:val="both"/>
        <w:rPr>
          <w:rStyle w:val="Textoennegrita"/>
          <w:rFonts w:ascii="Tahoma" w:hAnsi="Tahoma" w:cs="Tahoma"/>
          <w:color w:val="000000"/>
          <w:sz w:val="22"/>
          <w:szCs w:val="22"/>
        </w:rPr>
      </w:pPr>
      <w:r w:rsidRPr="00EF39E2">
        <w:rPr>
          <w:rStyle w:val="Textoennegrita"/>
          <w:rFonts w:ascii="Tahoma" w:hAnsi="Tahoma" w:cs="Tahoma"/>
          <w:sz w:val="22"/>
          <w:szCs w:val="22"/>
          <w:u w:val="single"/>
        </w:rPr>
        <w:lastRenderedPageBreak/>
        <w:t>1. Análisis de las principales m</w:t>
      </w:r>
      <w:r>
        <w:rPr>
          <w:rStyle w:val="Textoennegrita"/>
          <w:rFonts w:ascii="Tahoma" w:hAnsi="Tahoma" w:cs="Tahoma"/>
          <w:sz w:val="22"/>
          <w:szCs w:val="22"/>
          <w:u w:val="single"/>
        </w:rPr>
        <w:t xml:space="preserve">agnitudes Económico </w:t>
      </w:r>
      <w:r w:rsidRPr="00EF39E2">
        <w:rPr>
          <w:rStyle w:val="Textoennegrita"/>
          <w:rFonts w:ascii="Tahoma" w:hAnsi="Tahoma" w:cs="Tahoma"/>
          <w:sz w:val="22"/>
          <w:szCs w:val="22"/>
          <w:u w:val="single"/>
        </w:rPr>
        <w:t>-</w:t>
      </w:r>
      <w:r>
        <w:rPr>
          <w:rStyle w:val="Textoennegrita"/>
          <w:rFonts w:ascii="Tahoma" w:hAnsi="Tahoma" w:cs="Tahoma"/>
          <w:sz w:val="22"/>
          <w:szCs w:val="22"/>
          <w:u w:val="single"/>
        </w:rPr>
        <w:t xml:space="preserve"> </w:t>
      </w:r>
      <w:r w:rsidRPr="00EF39E2">
        <w:rPr>
          <w:rStyle w:val="Textoennegrita"/>
          <w:rFonts w:ascii="Tahoma" w:hAnsi="Tahoma" w:cs="Tahoma"/>
          <w:sz w:val="22"/>
          <w:szCs w:val="22"/>
          <w:u w:val="single"/>
        </w:rPr>
        <w:t xml:space="preserve">Financieras del Presupuesto </w:t>
      </w:r>
      <w:r w:rsidRPr="009C7378">
        <w:rPr>
          <w:rStyle w:val="Textoennegrita"/>
          <w:rFonts w:ascii="Tahoma" w:hAnsi="Tahoma" w:cs="Tahoma"/>
          <w:color w:val="000000"/>
          <w:sz w:val="22"/>
          <w:szCs w:val="22"/>
          <w:u w:val="single"/>
        </w:rPr>
        <w:t>201</w:t>
      </w:r>
      <w:r>
        <w:rPr>
          <w:rStyle w:val="Textoennegrita"/>
          <w:rFonts w:ascii="Tahoma" w:hAnsi="Tahoma" w:cs="Tahoma"/>
          <w:color w:val="000000"/>
          <w:sz w:val="22"/>
          <w:szCs w:val="22"/>
          <w:u w:val="single"/>
        </w:rPr>
        <w:t>8</w:t>
      </w:r>
      <w:r w:rsidRPr="009C7378">
        <w:rPr>
          <w:rStyle w:val="Textoennegrita"/>
          <w:rFonts w:ascii="Tahoma" w:hAnsi="Tahoma" w:cs="Tahoma"/>
          <w:color w:val="000000"/>
          <w:sz w:val="22"/>
          <w:szCs w:val="22"/>
          <w:u w:val="single"/>
        </w:rPr>
        <w:t>.</w:t>
      </w:r>
    </w:p>
    <w:p w:rsidR="00B9049A" w:rsidRDefault="00B9049A" w:rsidP="003D33E9">
      <w:pPr>
        <w:spacing w:before="100" w:beforeAutospacing="1" w:after="100" w:afterAutospacing="1" w:line="360" w:lineRule="auto"/>
        <w:jc w:val="both"/>
        <w:rPr>
          <w:rStyle w:val="Textoennegrita"/>
          <w:rFonts w:ascii="Tahoma" w:hAnsi="Tahoma" w:cs="Tahoma"/>
          <w:b w:val="0"/>
          <w:bCs w:val="0"/>
          <w:color w:val="000000"/>
          <w:sz w:val="22"/>
          <w:szCs w:val="22"/>
        </w:rPr>
      </w:pPr>
      <w:r w:rsidRPr="009C7378">
        <w:rPr>
          <w:rStyle w:val="Textoennegrita"/>
          <w:rFonts w:ascii="Tahoma" w:hAnsi="Tahoma" w:cs="Tahoma"/>
          <w:b w:val="0"/>
          <w:bCs w:val="0"/>
          <w:color w:val="000000"/>
          <w:sz w:val="22"/>
          <w:szCs w:val="22"/>
        </w:rPr>
        <w:t>Las principales magnitudes económico - financieras del Presupuesto del Cabildo de Tenerife para 201</w:t>
      </w:r>
      <w:r>
        <w:rPr>
          <w:rStyle w:val="Textoennegrita"/>
          <w:rFonts w:ascii="Tahoma" w:hAnsi="Tahoma" w:cs="Tahoma"/>
          <w:b w:val="0"/>
          <w:bCs w:val="0"/>
          <w:color w:val="000000"/>
          <w:sz w:val="22"/>
          <w:szCs w:val="22"/>
        </w:rPr>
        <w:t>8</w:t>
      </w:r>
      <w:r w:rsidRPr="009C7378">
        <w:rPr>
          <w:rStyle w:val="Textoennegrita"/>
          <w:rFonts w:ascii="Tahoma" w:hAnsi="Tahoma" w:cs="Tahoma"/>
          <w:b w:val="0"/>
          <w:bCs w:val="0"/>
          <w:color w:val="000000"/>
          <w:sz w:val="22"/>
          <w:szCs w:val="22"/>
        </w:rPr>
        <w:t xml:space="preserve"> y su comparativa con el de 201</w:t>
      </w:r>
      <w:r>
        <w:rPr>
          <w:rStyle w:val="Textoennegrita"/>
          <w:rFonts w:ascii="Tahoma" w:hAnsi="Tahoma" w:cs="Tahoma"/>
          <w:b w:val="0"/>
          <w:bCs w:val="0"/>
          <w:color w:val="000000"/>
          <w:sz w:val="22"/>
          <w:szCs w:val="22"/>
        </w:rPr>
        <w:t>7</w:t>
      </w:r>
      <w:r w:rsidRPr="009C7378">
        <w:rPr>
          <w:rStyle w:val="Textoennegrita"/>
          <w:rFonts w:ascii="Tahoma" w:hAnsi="Tahoma" w:cs="Tahoma"/>
          <w:b w:val="0"/>
          <w:bCs w:val="0"/>
          <w:color w:val="000000"/>
          <w:sz w:val="22"/>
          <w:szCs w:val="22"/>
        </w:rPr>
        <w:t xml:space="preserve"> se muestran en el siguiente cuadro:</w:t>
      </w:r>
    </w:p>
    <w:p w:rsidR="00B9049A" w:rsidRPr="002E22C0" w:rsidRDefault="0026194C" w:rsidP="003D33E9">
      <w:pPr>
        <w:spacing w:before="100" w:beforeAutospacing="1" w:after="100" w:afterAutospacing="1" w:line="360" w:lineRule="auto"/>
        <w:jc w:val="both"/>
        <w:rPr>
          <w:rStyle w:val="Textoennegrita"/>
          <w:rFonts w:ascii="Tahoma" w:hAnsi="Tahoma" w:cs="Tahoma"/>
          <w:b w:val="0"/>
          <w:bCs w:val="0"/>
          <w:color w:val="000000"/>
          <w:sz w:val="22"/>
          <w:szCs w:val="22"/>
        </w:rPr>
      </w:pPr>
      <w:r>
        <w:rPr>
          <w:b/>
          <w:bCs/>
          <w:noProof/>
        </w:rPr>
        <w:drawing>
          <wp:inline distT="0" distB="0" distL="0" distR="0">
            <wp:extent cx="6108700" cy="499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08700" cy="4991100"/>
                    </a:xfrm>
                    <a:prstGeom prst="rect">
                      <a:avLst/>
                    </a:prstGeom>
                    <a:noFill/>
                    <a:ln w="9525">
                      <a:noFill/>
                      <a:miter lim="800000"/>
                      <a:headEnd/>
                      <a:tailEnd/>
                    </a:ln>
                  </pic:spPr>
                </pic:pic>
              </a:graphicData>
            </a:graphic>
          </wp:inline>
        </w:drawing>
      </w:r>
    </w:p>
    <w:p w:rsidR="00B9049A" w:rsidRDefault="00B9049A" w:rsidP="00A509BC">
      <w:pPr>
        <w:spacing w:line="360" w:lineRule="auto"/>
        <w:jc w:val="both"/>
        <w:rPr>
          <w:rFonts w:ascii="Tahoma" w:hAnsi="Tahoma" w:cs="Tahoma"/>
          <w:sz w:val="22"/>
          <w:szCs w:val="22"/>
        </w:rPr>
      </w:pPr>
    </w:p>
    <w:p w:rsidR="00B9049A" w:rsidRPr="00EF39E2" w:rsidRDefault="00B9049A" w:rsidP="00A509BC">
      <w:pPr>
        <w:spacing w:line="360" w:lineRule="auto"/>
        <w:jc w:val="both"/>
        <w:rPr>
          <w:rFonts w:ascii="Tahoma" w:hAnsi="Tahoma" w:cs="Tahoma"/>
          <w:sz w:val="22"/>
          <w:szCs w:val="22"/>
        </w:rPr>
      </w:pPr>
      <w:r w:rsidRPr="00EF39E2">
        <w:rPr>
          <w:rFonts w:ascii="Tahoma" w:hAnsi="Tahoma" w:cs="Tahoma"/>
          <w:sz w:val="22"/>
          <w:szCs w:val="22"/>
        </w:rPr>
        <w:t xml:space="preserve">Analizando </w:t>
      </w:r>
      <w:r>
        <w:rPr>
          <w:rFonts w:ascii="Tahoma" w:hAnsi="Tahoma" w:cs="Tahoma"/>
          <w:sz w:val="22"/>
          <w:szCs w:val="22"/>
        </w:rPr>
        <w:t xml:space="preserve">con mayor </w:t>
      </w:r>
      <w:r w:rsidRPr="00EF39E2">
        <w:rPr>
          <w:rFonts w:ascii="Tahoma" w:hAnsi="Tahoma" w:cs="Tahoma"/>
          <w:sz w:val="22"/>
          <w:szCs w:val="22"/>
        </w:rPr>
        <w:t>detall</w:t>
      </w:r>
      <w:r>
        <w:rPr>
          <w:rFonts w:ascii="Tahoma" w:hAnsi="Tahoma" w:cs="Tahoma"/>
          <w:sz w:val="22"/>
          <w:szCs w:val="22"/>
        </w:rPr>
        <w:t>e</w:t>
      </w:r>
      <w:r w:rsidRPr="00EF39E2">
        <w:rPr>
          <w:rFonts w:ascii="Tahoma" w:hAnsi="Tahoma" w:cs="Tahoma"/>
          <w:sz w:val="22"/>
          <w:szCs w:val="22"/>
        </w:rPr>
        <w:t xml:space="preserve"> las diferentes magnitudes, tenemos </w:t>
      </w:r>
      <w:r>
        <w:rPr>
          <w:rFonts w:ascii="Tahoma" w:hAnsi="Tahoma" w:cs="Tahoma"/>
          <w:sz w:val="22"/>
          <w:szCs w:val="22"/>
        </w:rPr>
        <w:t>que</w:t>
      </w:r>
      <w:r w:rsidRPr="00EF39E2">
        <w:rPr>
          <w:rFonts w:ascii="Tahoma" w:hAnsi="Tahoma" w:cs="Tahoma"/>
          <w:sz w:val="22"/>
          <w:szCs w:val="22"/>
        </w:rPr>
        <w:t>:</w:t>
      </w:r>
    </w:p>
    <w:p w:rsidR="00B9049A" w:rsidRPr="00EF39E2" w:rsidRDefault="00B9049A" w:rsidP="00A509BC">
      <w:pPr>
        <w:spacing w:line="360" w:lineRule="auto"/>
        <w:jc w:val="both"/>
        <w:rPr>
          <w:rFonts w:ascii="Tahoma" w:hAnsi="Tahoma" w:cs="Tahoma"/>
          <w:sz w:val="22"/>
          <w:szCs w:val="22"/>
        </w:rPr>
      </w:pPr>
    </w:p>
    <w:p w:rsidR="00B9049A" w:rsidRDefault="00B9049A" w:rsidP="00FF6473">
      <w:pPr>
        <w:numPr>
          <w:ilvl w:val="0"/>
          <w:numId w:val="1"/>
        </w:numPr>
        <w:tabs>
          <w:tab w:val="clear" w:pos="360"/>
          <w:tab w:val="num" w:pos="720"/>
        </w:tabs>
        <w:spacing w:line="360" w:lineRule="auto"/>
        <w:ind w:left="720"/>
        <w:jc w:val="both"/>
        <w:rPr>
          <w:rFonts w:ascii="Tahoma" w:hAnsi="Tahoma" w:cs="Tahoma"/>
          <w:color w:val="000000"/>
          <w:sz w:val="22"/>
          <w:szCs w:val="22"/>
        </w:rPr>
      </w:pPr>
      <w:r w:rsidRPr="00EF39E2">
        <w:rPr>
          <w:rFonts w:ascii="Tahoma" w:hAnsi="Tahoma" w:cs="Tahoma"/>
          <w:color w:val="000000"/>
          <w:sz w:val="22"/>
          <w:szCs w:val="22"/>
        </w:rPr>
        <w:t xml:space="preserve">El </w:t>
      </w:r>
      <w:r w:rsidRPr="00EF39E2">
        <w:rPr>
          <w:rFonts w:ascii="Tahoma" w:hAnsi="Tahoma" w:cs="Tahoma"/>
          <w:b/>
          <w:bCs/>
          <w:color w:val="000000"/>
          <w:sz w:val="22"/>
          <w:szCs w:val="22"/>
          <w:u w:val="single"/>
        </w:rPr>
        <w:t>ahorro bruto</w:t>
      </w:r>
      <w:r w:rsidRPr="00EE1239">
        <w:rPr>
          <w:rFonts w:ascii="Tahoma" w:hAnsi="Tahoma" w:cs="Tahoma"/>
          <w:b/>
          <w:bCs/>
          <w:color w:val="000000"/>
          <w:sz w:val="22"/>
          <w:szCs w:val="22"/>
        </w:rPr>
        <w:t>,</w:t>
      </w:r>
      <w:r w:rsidRPr="00EF39E2">
        <w:rPr>
          <w:rFonts w:ascii="Tahoma" w:hAnsi="Tahoma" w:cs="Tahoma"/>
          <w:color w:val="000000"/>
          <w:sz w:val="22"/>
          <w:szCs w:val="22"/>
        </w:rPr>
        <w:t xml:space="preserve"> esto es, la diferencia entre ingresos corrientes (capítulos I a V) y gastos corrientes (capítulos I a V) alcanza </w:t>
      </w:r>
      <w:r w:rsidRPr="004D4597">
        <w:rPr>
          <w:rFonts w:ascii="Tahoma" w:hAnsi="Tahoma" w:cs="Tahoma"/>
          <w:color w:val="000000"/>
          <w:sz w:val="22"/>
          <w:szCs w:val="22"/>
        </w:rPr>
        <w:t xml:space="preserve">los </w:t>
      </w:r>
      <w:smartTag w:uri="urn:schemas-microsoft-com:office:smarttags" w:element="metricconverter">
        <w:smartTagPr>
          <w:attr w:name="ProductID" w:val="179,2 M"/>
        </w:smartTagPr>
        <w:r w:rsidRPr="004D4597">
          <w:rPr>
            <w:rFonts w:ascii="Tahoma" w:hAnsi="Tahoma" w:cs="Tahoma"/>
            <w:b/>
            <w:bCs/>
            <w:color w:val="000000"/>
            <w:sz w:val="22"/>
            <w:szCs w:val="22"/>
          </w:rPr>
          <w:t>1</w:t>
        </w:r>
        <w:r>
          <w:rPr>
            <w:rFonts w:ascii="Tahoma" w:hAnsi="Tahoma" w:cs="Tahoma"/>
            <w:b/>
            <w:bCs/>
            <w:color w:val="000000"/>
            <w:sz w:val="22"/>
            <w:szCs w:val="22"/>
          </w:rPr>
          <w:t>79,2</w:t>
        </w:r>
        <w:r w:rsidRPr="004D4597">
          <w:rPr>
            <w:rFonts w:ascii="Tahoma" w:hAnsi="Tahoma" w:cs="Tahoma"/>
            <w:b/>
            <w:bCs/>
            <w:color w:val="000000"/>
            <w:sz w:val="22"/>
            <w:szCs w:val="22"/>
          </w:rPr>
          <w:t xml:space="preserve"> M</w:t>
        </w:r>
      </w:smartTag>
      <w:r w:rsidRPr="004D4597">
        <w:rPr>
          <w:rFonts w:ascii="Tahoma" w:hAnsi="Tahoma" w:cs="Tahoma"/>
          <w:b/>
          <w:bCs/>
          <w:color w:val="000000"/>
          <w:sz w:val="22"/>
          <w:szCs w:val="22"/>
        </w:rPr>
        <w:t xml:space="preserve"> €,</w:t>
      </w:r>
      <w:r w:rsidRPr="004D4597">
        <w:rPr>
          <w:rFonts w:ascii="Tahoma" w:hAnsi="Tahoma" w:cs="Tahoma"/>
          <w:color w:val="000000"/>
          <w:sz w:val="22"/>
          <w:szCs w:val="22"/>
        </w:rPr>
        <w:t xml:space="preserve"> lo que supone un</w:t>
      </w:r>
      <w:r>
        <w:rPr>
          <w:rFonts w:ascii="Tahoma" w:hAnsi="Tahoma" w:cs="Tahoma"/>
          <w:color w:val="000000"/>
          <w:sz w:val="22"/>
          <w:szCs w:val="22"/>
        </w:rPr>
        <w:t xml:space="preserve"> aumento</w:t>
      </w:r>
      <w:r w:rsidRPr="004D4597">
        <w:rPr>
          <w:rFonts w:ascii="Tahoma" w:hAnsi="Tahoma" w:cs="Tahoma"/>
          <w:color w:val="000000"/>
          <w:sz w:val="22"/>
          <w:szCs w:val="22"/>
        </w:rPr>
        <w:t xml:space="preserve"> del </w:t>
      </w:r>
      <w:r>
        <w:rPr>
          <w:rFonts w:ascii="Tahoma" w:hAnsi="Tahoma" w:cs="Tahoma"/>
          <w:color w:val="000000"/>
          <w:sz w:val="22"/>
          <w:szCs w:val="22"/>
        </w:rPr>
        <w:t>10</w:t>
      </w:r>
      <w:r w:rsidRPr="004D4597">
        <w:rPr>
          <w:rFonts w:ascii="Tahoma" w:hAnsi="Tahoma" w:cs="Tahoma"/>
          <w:color w:val="000000"/>
          <w:sz w:val="22"/>
          <w:szCs w:val="22"/>
        </w:rPr>
        <w:t>,</w:t>
      </w:r>
      <w:r>
        <w:rPr>
          <w:rFonts w:ascii="Tahoma" w:hAnsi="Tahoma" w:cs="Tahoma"/>
          <w:color w:val="000000"/>
          <w:sz w:val="22"/>
          <w:szCs w:val="22"/>
        </w:rPr>
        <w:t>3</w:t>
      </w:r>
      <w:r w:rsidRPr="004D4597">
        <w:rPr>
          <w:rFonts w:ascii="Tahoma" w:hAnsi="Tahoma" w:cs="Tahoma"/>
          <w:color w:val="000000"/>
          <w:sz w:val="22"/>
          <w:szCs w:val="22"/>
        </w:rPr>
        <w:t>% con respecto al Presupuesto 201</w:t>
      </w:r>
      <w:r>
        <w:rPr>
          <w:rFonts w:ascii="Tahoma" w:hAnsi="Tahoma" w:cs="Tahoma"/>
          <w:color w:val="000000"/>
          <w:sz w:val="22"/>
          <w:szCs w:val="22"/>
        </w:rPr>
        <w:t>7.</w:t>
      </w:r>
    </w:p>
    <w:p w:rsidR="00B9049A" w:rsidRDefault="00B9049A" w:rsidP="00E571F5">
      <w:pPr>
        <w:spacing w:line="360" w:lineRule="auto"/>
        <w:jc w:val="both"/>
        <w:rPr>
          <w:rFonts w:ascii="Tahoma" w:hAnsi="Tahoma" w:cs="Tahoma"/>
          <w:color w:val="000000"/>
          <w:sz w:val="22"/>
          <w:szCs w:val="22"/>
        </w:rPr>
      </w:pPr>
    </w:p>
    <w:p w:rsidR="00B9049A" w:rsidRDefault="00B9049A" w:rsidP="00E571F5">
      <w:pPr>
        <w:spacing w:line="360" w:lineRule="auto"/>
        <w:jc w:val="both"/>
        <w:rPr>
          <w:rFonts w:ascii="Tahoma" w:hAnsi="Tahoma" w:cs="Tahoma"/>
          <w:color w:val="000000"/>
          <w:sz w:val="22"/>
          <w:szCs w:val="22"/>
        </w:rPr>
      </w:pPr>
    </w:p>
    <w:p w:rsidR="00B9049A" w:rsidRDefault="00B9049A" w:rsidP="00E571F5">
      <w:pPr>
        <w:spacing w:line="360" w:lineRule="auto"/>
        <w:jc w:val="both"/>
        <w:rPr>
          <w:rFonts w:ascii="Tahoma" w:hAnsi="Tahoma" w:cs="Tahoma"/>
          <w:color w:val="000000"/>
          <w:sz w:val="22"/>
          <w:szCs w:val="22"/>
        </w:rPr>
      </w:pPr>
    </w:p>
    <w:p w:rsidR="00B9049A" w:rsidRDefault="00B9049A" w:rsidP="00E571F5">
      <w:pPr>
        <w:spacing w:line="360" w:lineRule="auto"/>
        <w:jc w:val="both"/>
        <w:rPr>
          <w:rFonts w:ascii="Tahoma" w:hAnsi="Tahoma" w:cs="Tahoma"/>
          <w:color w:val="000000"/>
          <w:sz w:val="22"/>
          <w:szCs w:val="22"/>
        </w:rPr>
      </w:pPr>
    </w:p>
    <w:p w:rsidR="00B9049A" w:rsidRPr="00EF39E2" w:rsidRDefault="00B9049A" w:rsidP="0057518F">
      <w:pPr>
        <w:numPr>
          <w:ilvl w:val="0"/>
          <w:numId w:val="1"/>
        </w:numPr>
        <w:tabs>
          <w:tab w:val="clear" w:pos="360"/>
          <w:tab w:val="num" w:pos="720"/>
        </w:tabs>
        <w:spacing w:before="100" w:beforeAutospacing="1" w:after="100" w:afterAutospacing="1" w:line="360" w:lineRule="auto"/>
        <w:ind w:left="720"/>
        <w:jc w:val="both"/>
        <w:rPr>
          <w:rFonts w:ascii="Tahoma" w:hAnsi="Tahoma" w:cs="Tahoma"/>
          <w:color w:val="000000"/>
          <w:sz w:val="22"/>
          <w:szCs w:val="22"/>
        </w:rPr>
      </w:pPr>
      <w:r w:rsidRPr="00EF39E2">
        <w:rPr>
          <w:rFonts w:ascii="Tahoma" w:hAnsi="Tahoma" w:cs="Tahoma"/>
          <w:color w:val="000000"/>
          <w:sz w:val="22"/>
          <w:szCs w:val="22"/>
        </w:rPr>
        <w:t xml:space="preserve">El </w:t>
      </w:r>
      <w:r w:rsidRPr="00EF39E2">
        <w:rPr>
          <w:rFonts w:ascii="Tahoma" w:hAnsi="Tahoma" w:cs="Tahoma"/>
          <w:b/>
          <w:bCs/>
          <w:color w:val="000000"/>
          <w:sz w:val="22"/>
          <w:szCs w:val="22"/>
          <w:u w:val="single"/>
        </w:rPr>
        <w:t>saldo de operaciones de capital</w:t>
      </w:r>
      <w:r w:rsidRPr="00EF39E2">
        <w:rPr>
          <w:rFonts w:ascii="Tahoma" w:hAnsi="Tahoma" w:cs="Tahoma"/>
          <w:color w:val="000000"/>
          <w:sz w:val="22"/>
          <w:szCs w:val="22"/>
        </w:rPr>
        <w:t xml:space="preserve"> presenta un </w:t>
      </w:r>
      <w:r w:rsidRPr="00833039">
        <w:rPr>
          <w:rFonts w:ascii="Tahoma" w:hAnsi="Tahoma" w:cs="Tahoma"/>
          <w:b/>
          <w:bCs/>
          <w:color w:val="000000"/>
          <w:sz w:val="22"/>
          <w:szCs w:val="22"/>
        </w:rPr>
        <w:t xml:space="preserve">déficit de </w:t>
      </w:r>
      <w:smartTag w:uri="urn:schemas-microsoft-com:office:smarttags" w:element="metricconverter">
        <w:smartTagPr>
          <w:attr w:name="ProductID" w:val="157,1 M"/>
        </w:smartTagPr>
        <w:r w:rsidRPr="004D4597">
          <w:rPr>
            <w:rFonts w:ascii="Tahoma" w:hAnsi="Tahoma" w:cs="Tahoma"/>
            <w:b/>
            <w:bCs/>
            <w:color w:val="000000"/>
            <w:sz w:val="22"/>
            <w:szCs w:val="22"/>
          </w:rPr>
          <w:t>1</w:t>
        </w:r>
        <w:r>
          <w:rPr>
            <w:rFonts w:ascii="Tahoma" w:hAnsi="Tahoma" w:cs="Tahoma"/>
            <w:b/>
            <w:bCs/>
            <w:color w:val="000000"/>
            <w:sz w:val="22"/>
            <w:szCs w:val="22"/>
          </w:rPr>
          <w:t>57</w:t>
        </w:r>
        <w:r w:rsidRPr="004D4597">
          <w:rPr>
            <w:rFonts w:ascii="Tahoma" w:hAnsi="Tahoma" w:cs="Tahoma"/>
            <w:b/>
            <w:bCs/>
            <w:color w:val="000000"/>
            <w:sz w:val="22"/>
            <w:szCs w:val="22"/>
          </w:rPr>
          <w:t>,</w:t>
        </w:r>
        <w:r>
          <w:rPr>
            <w:rFonts w:ascii="Tahoma" w:hAnsi="Tahoma" w:cs="Tahoma"/>
            <w:b/>
            <w:bCs/>
            <w:color w:val="000000"/>
            <w:sz w:val="22"/>
            <w:szCs w:val="22"/>
          </w:rPr>
          <w:t>1</w:t>
        </w:r>
        <w:r w:rsidRPr="004D4597">
          <w:rPr>
            <w:rFonts w:ascii="Tahoma" w:hAnsi="Tahoma" w:cs="Tahoma"/>
            <w:b/>
            <w:bCs/>
            <w:color w:val="000000"/>
            <w:sz w:val="22"/>
            <w:szCs w:val="22"/>
          </w:rPr>
          <w:t xml:space="preserve"> M</w:t>
        </w:r>
      </w:smartTag>
      <w:r w:rsidRPr="004D4597">
        <w:rPr>
          <w:rFonts w:ascii="Tahoma" w:hAnsi="Tahoma" w:cs="Tahoma"/>
          <w:b/>
          <w:bCs/>
          <w:color w:val="000000"/>
          <w:sz w:val="22"/>
          <w:szCs w:val="22"/>
        </w:rPr>
        <w:t xml:space="preserve"> €,</w:t>
      </w:r>
      <w:r w:rsidRPr="004D4597">
        <w:rPr>
          <w:rFonts w:ascii="Tahoma" w:hAnsi="Tahoma" w:cs="Tahoma"/>
          <w:color w:val="000000"/>
          <w:sz w:val="22"/>
          <w:szCs w:val="22"/>
        </w:rPr>
        <w:t xml:space="preserve"> como consecuencia de que los ingresos por transferencias de capital son </w:t>
      </w:r>
      <w:smartTag w:uri="urn:schemas-microsoft-com:office:smarttags" w:element="metricconverter">
        <w:smartTagPr>
          <w:attr w:name="ProductID" w:val="56,1 M"/>
        </w:smartTagPr>
        <w:r>
          <w:rPr>
            <w:rFonts w:ascii="Tahoma" w:hAnsi="Tahoma" w:cs="Tahoma"/>
            <w:color w:val="000000"/>
            <w:sz w:val="22"/>
            <w:szCs w:val="22"/>
          </w:rPr>
          <w:t>56,1</w:t>
        </w:r>
        <w:r w:rsidRPr="004D4597">
          <w:rPr>
            <w:rFonts w:ascii="Tahoma" w:hAnsi="Tahoma" w:cs="Tahoma"/>
            <w:color w:val="000000"/>
            <w:sz w:val="22"/>
            <w:szCs w:val="22"/>
          </w:rPr>
          <w:t xml:space="preserve"> M</w:t>
        </w:r>
      </w:smartTag>
      <w:r w:rsidRPr="004D4597">
        <w:rPr>
          <w:rFonts w:ascii="Tahoma" w:hAnsi="Tahoma" w:cs="Tahoma"/>
          <w:color w:val="000000"/>
          <w:sz w:val="22"/>
          <w:szCs w:val="22"/>
        </w:rPr>
        <w:t xml:space="preserve"> €, importe inferior a los </w:t>
      </w:r>
      <w:smartTag w:uri="urn:schemas-microsoft-com:office:smarttags" w:element="metricconverter">
        <w:smartTagPr>
          <w:attr w:name="ProductID" w:val="213,2 M"/>
        </w:smartTagPr>
        <w:r>
          <w:rPr>
            <w:rFonts w:ascii="Tahoma" w:hAnsi="Tahoma" w:cs="Tahoma"/>
            <w:color w:val="000000"/>
            <w:sz w:val="22"/>
            <w:szCs w:val="22"/>
          </w:rPr>
          <w:t>213,2</w:t>
        </w:r>
        <w:r w:rsidRPr="004D4597">
          <w:rPr>
            <w:rFonts w:ascii="Tahoma" w:hAnsi="Tahoma" w:cs="Tahoma"/>
            <w:color w:val="000000"/>
            <w:sz w:val="22"/>
            <w:szCs w:val="22"/>
          </w:rPr>
          <w:t xml:space="preserve"> M</w:t>
        </w:r>
      </w:smartTag>
      <w:r w:rsidRPr="004D4597">
        <w:rPr>
          <w:rFonts w:ascii="Tahoma" w:hAnsi="Tahoma" w:cs="Tahoma"/>
          <w:color w:val="000000"/>
          <w:sz w:val="22"/>
          <w:szCs w:val="22"/>
        </w:rPr>
        <w:t xml:space="preserve"> € a que asciende el conjunto de gastos de inversión (inv</w:t>
      </w:r>
      <w:r w:rsidRPr="00EF39E2">
        <w:rPr>
          <w:rFonts w:ascii="Tahoma" w:hAnsi="Tahoma" w:cs="Tahoma"/>
          <w:color w:val="000000"/>
          <w:sz w:val="22"/>
          <w:szCs w:val="22"/>
        </w:rPr>
        <w:t xml:space="preserve">ersiones reales y transferencias de capital) previstos en el Presupuesto del Cabildo para </w:t>
      </w:r>
      <w:r>
        <w:rPr>
          <w:rFonts w:ascii="Tahoma" w:hAnsi="Tahoma" w:cs="Tahoma"/>
          <w:color w:val="000000"/>
          <w:sz w:val="22"/>
          <w:szCs w:val="22"/>
        </w:rPr>
        <w:t>2018</w:t>
      </w:r>
      <w:r w:rsidRPr="00EF39E2">
        <w:rPr>
          <w:rFonts w:ascii="Tahoma" w:hAnsi="Tahoma" w:cs="Tahoma"/>
          <w:color w:val="000000"/>
          <w:sz w:val="22"/>
          <w:szCs w:val="22"/>
        </w:rPr>
        <w:t>.</w:t>
      </w:r>
    </w:p>
    <w:p w:rsidR="00B9049A" w:rsidRPr="00833039" w:rsidRDefault="00B9049A" w:rsidP="0057518F">
      <w:pPr>
        <w:numPr>
          <w:ilvl w:val="0"/>
          <w:numId w:val="1"/>
        </w:numPr>
        <w:tabs>
          <w:tab w:val="clear" w:pos="360"/>
          <w:tab w:val="num" w:pos="720"/>
        </w:tabs>
        <w:spacing w:before="100" w:beforeAutospacing="1" w:after="100" w:afterAutospacing="1" w:line="360" w:lineRule="auto"/>
        <w:ind w:left="720"/>
        <w:jc w:val="both"/>
        <w:rPr>
          <w:rFonts w:ascii="Tahoma" w:hAnsi="Tahoma" w:cs="Tahoma"/>
          <w:b/>
          <w:bCs/>
          <w:color w:val="000000"/>
          <w:sz w:val="22"/>
          <w:szCs w:val="22"/>
          <w:u w:val="single"/>
        </w:rPr>
      </w:pPr>
      <w:r>
        <w:rPr>
          <w:rFonts w:ascii="Tahoma" w:hAnsi="Tahoma" w:cs="Tahoma"/>
          <w:color w:val="000000"/>
          <w:sz w:val="22"/>
          <w:szCs w:val="22"/>
        </w:rPr>
        <w:t xml:space="preserve">El </w:t>
      </w:r>
      <w:r w:rsidRPr="00EF39E2">
        <w:rPr>
          <w:rFonts w:ascii="Tahoma" w:hAnsi="Tahoma" w:cs="Tahoma"/>
          <w:b/>
          <w:bCs/>
          <w:color w:val="000000"/>
          <w:sz w:val="22"/>
          <w:szCs w:val="22"/>
          <w:u w:val="single"/>
        </w:rPr>
        <w:t>saldo de operaciones no financieras</w:t>
      </w:r>
      <w:r w:rsidRPr="000E4DC3">
        <w:rPr>
          <w:rFonts w:ascii="Tahoma" w:hAnsi="Tahoma" w:cs="Tahoma"/>
          <w:b/>
          <w:bCs/>
          <w:color w:val="000000"/>
          <w:sz w:val="22"/>
          <w:szCs w:val="22"/>
        </w:rPr>
        <w:t>,</w:t>
      </w:r>
      <w:r w:rsidRPr="00EF39E2">
        <w:rPr>
          <w:rFonts w:ascii="Tahoma" w:hAnsi="Tahoma" w:cs="Tahoma"/>
          <w:color w:val="000000"/>
          <w:sz w:val="22"/>
          <w:szCs w:val="22"/>
        </w:rPr>
        <w:t xml:space="preserve"> </w:t>
      </w:r>
      <w:r>
        <w:rPr>
          <w:rFonts w:ascii="Tahoma" w:hAnsi="Tahoma" w:cs="Tahoma"/>
          <w:color w:val="000000"/>
          <w:sz w:val="22"/>
          <w:szCs w:val="22"/>
        </w:rPr>
        <w:t>resultado de la agregación d</w:t>
      </w:r>
      <w:r w:rsidRPr="00EF39E2">
        <w:rPr>
          <w:rFonts w:ascii="Tahoma" w:hAnsi="Tahoma" w:cs="Tahoma"/>
          <w:color w:val="000000"/>
          <w:sz w:val="22"/>
          <w:szCs w:val="22"/>
        </w:rPr>
        <w:t xml:space="preserve">el saldo de operaciones corrientes (ahorro bruto) y </w:t>
      </w:r>
      <w:r>
        <w:rPr>
          <w:rFonts w:ascii="Tahoma" w:hAnsi="Tahoma" w:cs="Tahoma"/>
          <w:color w:val="000000"/>
          <w:sz w:val="22"/>
          <w:szCs w:val="22"/>
        </w:rPr>
        <w:t>d</w:t>
      </w:r>
      <w:r w:rsidRPr="00EF39E2">
        <w:rPr>
          <w:rFonts w:ascii="Tahoma" w:hAnsi="Tahoma" w:cs="Tahoma"/>
          <w:color w:val="000000"/>
          <w:sz w:val="22"/>
          <w:szCs w:val="22"/>
        </w:rPr>
        <w:t>el de operaciones de capital</w:t>
      </w:r>
      <w:r>
        <w:rPr>
          <w:rFonts w:ascii="Tahoma" w:hAnsi="Tahoma" w:cs="Tahoma"/>
          <w:color w:val="000000"/>
          <w:sz w:val="22"/>
          <w:szCs w:val="22"/>
        </w:rPr>
        <w:t>,</w:t>
      </w:r>
      <w:r w:rsidRPr="00EF39E2">
        <w:rPr>
          <w:rFonts w:ascii="Tahoma" w:hAnsi="Tahoma" w:cs="Tahoma"/>
          <w:color w:val="000000"/>
          <w:sz w:val="22"/>
          <w:szCs w:val="22"/>
        </w:rPr>
        <w:t xml:space="preserve"> presenta un </w:t>
      </w:r>
      <w:r w:rsidRPr="00833039">
        <w:rPr>
          <w:rFonts w:ascii="Tahoma" w:hAnsi="Tahoma" w:cs="Tahoma"/>
          <w:b/>
          <w:bCs/>
          <w:color w:val="000000"/>
          <w:sz w:val="22"/>
          <w:szCs w:val="22"/>
        </w:rPr>
        <w:t xml:space="preserve">superávit de </w:t>
      </w:r>
      <w:smartTag w:uri="urn:schemas-microsoft-com:office:smarttags" w:element="metricconverter">
        <w:smartTagPr>
          <w:attr w:name="ProductID" w:val="22,1 M"/>
        </w:smartTagPr>
        <w:r>
          <w:rPr>
            <w:rFonts w:ascii="Tahoma" w:hAnsi="Tahoma" w:cs="Tahoma"/>
            <w:b/>
            <w:bCs/>
            <w:color w:val="000000"/>
            <w:sz w:val="22"/>
            <w:szCs w:val="22"/>
          </w:rPr>
          <w:t>22,1</w:t>
        </w:r>
        <w:r w:rsidRPr="00833039">
          <w:rPr>
            <w:rFonts w:ascii="Tahoma" w:hAnsi="Tahoma" w:cs="Tahoma"/>
            <w:b/>
            <w:bCs/>
            <w:color w:val="000000"/>
            <w:sz w:val="22"/>
            <w:szCs w:val="22"/>
          </w:rPr>
          <w:t xml:space="preserve"> M</w:t>
        </w:r>
      </w:smartTag>
      <w:r w:rsidRPr="00833039">
        <w:rPr>
          <w:rFonts w:ascii="Tahoma" w:hAnsi="Tahoma" w:cs="Tahoma"/>
          <w:b/>
          <w:bCs/>
          <w:color w:val="000000"/>
          <w:sz w:val="22"/>
          <w:szCs w:val="22"/>
        </w:rPr>
        <w:t xml:space="preserve"> €.</w:t>
      </w:r>
    </w:p>
    <w:p w:rsidR="00B9049A" w:rsidRPr="00EF39E2" w:rsidRDefault="00B9049A" w:rsidP="0057518F">
      <w:pPr>
        <w:numPr>
          <w:ilvl w:val="0"/>
          <w:numId w:val="1"/>
        </w:numPr>
        <w:tabs>
          <w:tab w:val="clear" w:pos="360"/>
          <w:tab w:val="num" w:pos="720"/>
        </w:tabs>
        <w:spacing w:before="100" w:beforeAutospacing="1" w:after="100" w:afterAutospacing="1" w:line="360" w:lineRule="auto"/>
        <w:ind w:left="720"/>
        <w:jc w:val="both"/>
        <w:rPr>
          <w:rFonts w:ascii="Tahoma" w:hAnsi="Tahoma" w:cs="Tahoma"/>
          <w:color w:val="000000"/>
          <w:sz w:val="22"/>
          <w:szCs w:val="22"/>
        </w:rPr>
      </w:pPr>
      <w:r>
        <w:rPr>
          <w:rFonts w:ascii="Tahoma" w:hAnsi="Tahoma" w:cs="Tahoma"/>
          <w:color w:val="000000"/>
          <w:sz w:val="22"/>
          <w:szCs w:val="22"/>
        </w:rPr>
        <w:t>En contrapartida, e</w:t>
      </w:r>
      <w:r w:rsidRPr="00EF39E2">
        <w:rPr>
          <w:rFonts w:ascii="Tahoma" w:hAnsi="Tahoma" w:cs="Tahoma"/>
          <w:color w:val="000000"/>
          <w:sz w:val="22"/>
          <w:szCs w:val="22"/>
        </w:rPr>
        <w:t xml:space="preserve">l </w:t>
      </w:r>
      <w:r w:rsidRPr="00CD41FB">
        <w:rPr>
          <w:rFonts w:ascii="Tahoma" w:hAnsi="Tahoma" w:cs="Tahoma"/>
          <w:b/>
          <w:bCs/>
          <w:color w:val="000000"/>
          <w:sz w:val="22"/>
          <w:szCs w:val="22"/>
          <w:u w:val="single"/>
        </w:rPr>
        <w:t xml:space="preserve">saldo de </w:t>
      </w:r>
      <w:r w:rsidRPr="00EF39E2">
        <w:rPr>
          <w:rFonts w:ascii="Tahoma" w:hAnsi="Tahoma" w:cs="Tahoma"/>
          <w:b/>
          <w:bCs/>
          <w:color w:val="000000"/>
          <w:sz w:val="22"/>
          <w:szCs w:val="22"/>
          <w:u w:val="single"/>
        </w:rPr>
        <w:t>operaciones financieras</w:t>
      </w:r>
      <w:r w:rsidRPr="00EF39E2">
        <w:rPr>
          <w:rFonts w:ascii="Tahoma" w:hAnsi="Tahoma" w:cs="Tahoma"/>
          <w:color w:val="000000"/>
          <w:sz w:val="22"/>
          <w:szCs w:val="22"/>
        </w:rPr>
        <w:t xml:space="preserve"> </w:t>
      </w:r>
      <w:r>
        <w:rPr>
          <w:rFonts w:ascii="Tahoma" w:hAnsi="Tahoma" w:cs="Tahoma"/>
          <w:color w:val="000000"/>
          <w:sz w:val="22"/>
          <w:szCs w:val="22"/>
        </w:rPr>
        <w:t xml:space="preserve">muestra un </w:t>
      </w:r>
      <w:r w:rsidRPr="00833039">
        <w:rPr>
          <w:rFonts w:ascii="Tahoma" w:hAnsi="Tahoma" w:cs="Tahoma"/>
          <w:b/>
          <w:bCs/>
          <w:color w:val="000000"/>
          <w:sz w:val="22"/>
          <w:szCs w:val="22"/>
        </w:rPr>
        <w:t xml:space="preserve">déficit de </w:t>
      </w:r>
      <w:smartTag w:uri="urn:schemas-microsoft-com:office:smarttags" w:element="metricconverter">
        <w:smartTagPr>
          <w:attr w:name="ProductID" w:val="22,1 M"/>
        </w:smartTagPr>
        <w:r>
          <w:rPr>
            <w:rFonts w:ascii="Tahoma" w:hAnsi="Tahoma" w:cs="Tahoma"/>
            <w:b/>
            <w:bCs/>
            <w:color w:val="000000"/>
            <w:sz w:val="22"/>
            <w:szCs w:val="22"/>
          </w:rPr>
          <w:t>22,1</w:t>
        </w:r>
        <w:r w:rsidRPr="00833039">
          <w:rPr>
            <w:rFonts w:ascii="Tahoma" w:hAnsi="Tahoma" w:cs="Tahoma"/>
            <w:b/>
            <w:bCs/>
            <w:color w:val="000000"/>
            <w:sz w:val="22"/>
            <w:szCs w:val="22"/>
          </w:rPr>
          <w:t xml:space="preserve"> M</w:t>
        </w:r>
      </w:smartTag>
      <w:r w:rsidRPr="00833039">
        <w:rPr>
          <w:rFonts w:ascii="Tahoma" w:hAnsi="Tahoma" w:cs="Tahoma"/>
          <w:b/>
          <w:bCs/>
          <w:color w:val="000000"/>
          <w:sz w:val="22"/>
          <w:szCs w:val="22"/>
        </w:rPr>
        <w:t xml:space="preserve"> €</w:t>
      </w:r>
      <w:r>
        <w:rPr>
          <w:rFonts w:ascii="Tahoma" w:hAnsi="Tahoma" w:cs="Tahoma"/>
          <w:color w:val="000000"/>
          <w:sz w:val="22"/>
          <w:szCs w:val="22"/>
        </w:rPr>
        <w:t xml:space="preserve"> como consecuencia de lo siguiente:</w:t>
      </w:r>
    </w:p>
    <w:p w:rsidR="00B9049A" w:rsidRPr="0073503E" w:rsidRDefault="00B9049A" w:rsidP="007B6160">
      <w:pPr>
        <w:numPr>
          <w:ilvl w:val="1"/>
          <w:numId w:val="27"/>
        </w:numPr>
        <w:spacing w:before="100" w:beforeAutospacing="1" w:after="100" w:afterAutospacing="1" w:line="360" w:lineRule="auto"/>
        <w:jc w:val="both"/>
        <w:rPr>
          <w:rFonts w:ascii="Tahoma" w:hAnsi="Tahoma" w:cs="Tahoma"/>
          <w:color w:val="000000"/>
          <w:sz w:val="22"/>
          <w:szCs w:val="22"/>
        </w:rPr>
      </w:pPr>
      <w:r>
        <w:rPr>
          <w:rFonts w:ascii="Tahoma" w:hAnsi="Tahoma" w:cs="Tahoma"/>
          <w:color w:val="000000"/>
          <w:sz w:val="22"/>
          <w:szCs w:val="22"/>
        </w:rPr>
        <w:t xml:space="preserve">La </w:t>
      </w:r>
      <w:r w:rsidRPr="0073503E">
        <w:rPr>
          <w:rFonts w:ascii="Tahoma" w:hAnsi="Tahoma" w:cs="Tahoma"/>
          <w:color w:val="000000"/>
          <w:sz w:val="22"/>
          <w:szCs w:val="22"/>
          <w:u w:val="single"/>
        </w:rPr>
        <w:t>variación de activos financieros</w:t>
      </w:r>
      <w:r w:rsidRPr="0073503E">
        <w:rPr>
          <w:rFonts w:ascii="Tahoma" w:hAnsi="Tahoma" w:cs="Tahoma"/>
          <w:color w:val="000000"/>
          <w:sz w:val="22"/>
          <w:szCs w:val="22"/>
        </w:rPr>
        <w:t xml:space="preserve">, </w:t>
      </w:r>
      <w:r>
        <w:rPr>
          <w:rFonts w:ascii="Tahoma" w:hAnsi="Tahoma" w:cs="Tahoma"/>
          <w:color w:val="000000"/>
          <w:sz w:val="22"/>
          <w:szCs w:val="22"/>
        </w:rPr>
        <w:t xml:space="preserve">es de </w:t>
      </w:r>
      <w:r>
        <w:rPr>
          <w:rFonts w:ascii="Tahoma" w:hAnsi="Tahoma" w:cs="Tahoma"/>
          <w:color w:val="000000"/>
          <w:sz w:val="22"/>
          <w:szCs w:val="22"/>
          <w:u w:val="single"/>
        </w:rPr>
        <w:t>0</w:t>
      </w:r>
      <w:r w:rsidRPr="0073503E">
        <w:rPr>
          <w:rFonts w:ascii="Tahoma" w:hAnsi="Tahoma" w:cs="Tahoma"/>
          <w:color w:val="000000"/>
          <w:sz w:val="22"/>
          <w:szCs w:val="22"/>
          <w:u w:val="single"/>
        </w:rPr>
        <w:t xml:space="preserve"> </w:t>
      </w:r>
      <w:r>
        <w:rPr>
          <w:rFonts w:ascii="Tahoma" w:hAnsi="Tahoma" w:cs="Tahoma"/>
          <w:color w:val="000000"/>
          <w:sz w:val="22"/>
          <w:szCs w:val="22"/>
          <w:u w:val="single"/>
        </w:rPr>
        <w:t>euros</w:t>
      </w:r>
      <w:r w:rsidRPr="0073503E">
        <w:rPr>
          <w:rFonts w:ascii="Tahoma" w:hAnsi="Tahoma" w:cs="Tahoma"/>
          <w:color w:val="000000"/>
          <w:sz w:val="22"/>
          <w:szCs w:val="22"/>
        </w:rPr>
        <w:t xml:space="preserve">, </w:t>
      </w:r>
      <w:r>
        <w:rPr>
          <w:rFonts w:ascii="Tahoma" w:hAnsi="Tahoma" w:cs="Tahoma"/>
          <w:color w:val="000000"/>
          <w:sz w:val="22"/>
          <w:szCs w:val="22"/>
        </w:rPr>
        <w:t xml:space="preserve">dado que la previsión de ingresos y gastos presenta el mismo importe de </w:t>
      </w:r>
      <w:smartTag w:uri="urn:schemas-microsoft-com:office:smarttags" w:element="metricconverter">
        <w:smartTagPr>
          <w:attr w:name="ProductID" w:val="1,8 M"/>
        </w:smartTagPr>
        <w:r>
          <w:rPr>
            <w:rFonts w:ascii="Tahoma" w:hAnsi="Tahoma" w:cs="Tahoma"/>
            <w:color w:val="000000"/>
            <w:sz w:val="22"/>
            <w:szCs w:val="22"/>
          </w:rPr>
          <w:t>1,8 M</w:t>
        </w:r>
      </w:smartTag>
      <w:r>
        <w:rPr>
          <w:rFonts w:ascii="Tahoma" w:hAnsi="Tahoma" w:cs="Tahoma"/>
          <w:color w:val="000000"/>
          <w:sz w:val="22"/>
          <w:szCs w:val="22"/>
        </w:rPr>
        <w:t xml:space="preserve"> </w:t>
      </w:r>
      <w:r w:rsidRPr="00D0708D">
        <w:rPr>
          <w:rFonts w:ascii="Tahoma" w:hAnsi="Tahoma" w:cs="Tahoma"/>
          <w:color w:val="000000"/>
          <w:sz w:val="22"/>
          <w:szCs w:val="22"/>
        </w:rPr>
        <w:t>€</w:t>
      </w:r>
      <w:r>
        <w:rPr>
          <w:rFonts w:ascii="Tahoma" w:hAnsi="Tahoma" w:cs="Tahoma"/>
          <w:color w:val="000000"/>
          <w:sz w:val="22"/>
          <w:szCs w:val="22"/>
        </w:rPr>
        <w:t>.</w:t>
      </w:r>
    </w:p>
    <w:p w:rsidR="00B9049A" w:rsidRPr="001E7C2C" w:rsidRDefault="00B9049A" w:rsidP="007B6160">
      <w:pPr>
        <w:numPr>
          <w:ilvl w:val="1"/>
          <w:numId w:val="27"/>
        </w:numPr>
        <w:spacing w:before="100" w:beforeAutospacing="1" w:after="100" w:afterAutospacing="1" w:line="360" w:lineRule="auto"/>
        <w:jc w:val="both"/>
        <w:rPr>
          <w:rFonts w:ascii="Tahoma" w:hAnsi="Tahoma" w:cs="Tahoma"/>
          <w:b/>
          <w:bCs/>
          <w:color w:val="FF0000"/>
          <w:sz w:val="22"/>
          <w:szCs w:val="22"/>
        </w:rPr>
      </w:pPr>
      <w:r>
        <w:rPr>
          <w:rFonts w:ascii="Tahoma" w:hAnsi="Tahoma" w:cs="Tahoma"/>
          <w:color w:val="000000"/>
          <w:sz w:val="22"/>
          <w:szCs w:val="22"/>
        </w:rPr>
        <w:t>La</w:t>
      </w:r>
      <w:r w:rsidRPr="00EF39E2">
        <w:rPr>
          <w:rFonts w:ascii="Tahoma" w:hAnsi="Tahoma" w:cs="Tahoma"/>
          <w:color w:val="000000"/>
          <w:sz w:val="22"/>
          <w:szCs w:val="22"/>
        </w:rPr>
        <w:t xml:space="preserve"> </w:t>
      </w:r>
      <w:r w:rsidRPr="00D0708D">
        <w:rPr>
          <w:rFonts w:ascii="Tahoma" w:hAnsi="Tahoma" w:cs="Tahoma"/>
          <w:color w:val="000000"/>
          <w:sz w:val="22"/>
          <w:szCs w:val="22"/>
          <w:u w:val="single"/>
        </w:rPr>
        <w:t>variación de pasivos financieros</w:t>
      </w:r>
      <w:r w:rsidRPr="00B26F3C">
        <w:rPr>
          <w:rFonts w:ascii="Tahoma" w:hAnsi="Tahoma" w:cs="Tahoma"/>
          <w:color w:val="000000"/>
          <w:sz w:val="22"/>
          <w:szCs w:val="22"/>
        </w:rPr>
        <w:t xml:space="preserve">, </w:t>
      </w:r>
      <w:r>
        <w:rPr>
          <w:rFonts w:ascii="Tahoma" w:hAnsi="Tahoma" w:cs="Tahoma"/>
          <w:color w:val="000000"/>
          <w:sz w:val="22"/>
          <w:szCs w:val="22"/>
        </w:rPr>
        <w:t xml:space="preserve">que </w:t>
      </w:r>
      <w:r w:rsidRPr="00D0708D">
        <w:rPr>
          <w:rFonts w:ascii="Tahoma" w:hAnsi="Tahoma" w:cs="Tahoma"/>
          <w:color w:val="000000"/>
          <w:sz w:val="22"/>
          <w:szCs w:val="22"/>
        </w:rPr>
        <w:t xml:space="preserve">es </w:t>
      </w:r>
      <w:r>
        <w:rPr>
          <w:rFonts w:ascii="Tahoma" w:hAnsi="Tahoma" w:cs="Tahoma"/>
          <w:color w:val="000000"/>
          <w:sz w:val="22"/>
          <w:szCs w:val="22"/>
        </w:rPr>
        <w:t>la diferencia entre la</w:t>
      </w:r>
      <w:r w:rsidRPr="00D0708D">
        <w:rPr>
          <w:rFonts w:ascii="Tahoma" w:hAnsi="Tahoma" w:cs="Tahoma"/>
          <w:color w:val="000000"/>
          <w:sz w:val="22"/>
          <w:szCs w:val="22"/>
        </w:rPr>
        <w:t xml:space="preserve"> amortización anual </w:t>
      </w:r>
      <w:r>
        <w:rPr>
          <w:rFonts w:ascii="Tahoma" w:hAnsi="Tahoma" w:cs="Tahoma"/>
          <w:color w:val="000000"/>
          <w:sz w:val="22"/>
          <w:szCs w:val="22"/>
        </w:rPr>
        <w:t xml:space="preserve">prevista </w:t>
      </w:r>
      <w:r w:rsidRPr="00D0708D">
        <w:rPr>
          <w:rFonts w:ascii="Tahoma" w:hAnsi="Tahoma" w:cs="Tahoma"/>
          <w:color w:val="000000"/>
          <w:sz w:val="22"/>
          <w:szCs w:val="22"/>
        </w:rPr>
        <w:t>de los préstamos a largo plazo concertados por la Corporación</w:t>
      </w:r>
      <w:r>
        <w:rPr>
          <w:rFonts w:ascii="Tahoma" w:hAnsi="Tahoma" w:cs="Tahoma"/>
          <w:color w:val="000000"/>
          <w:sz w:val="22"/>
          <w:szCs w:val="22"/>
        </w:rPr>
        <w:t xml:space="preserve"> y el importe de los ingresos por préstamos para financiar inversiones, asciende a </w:t>
      </w:r>
      <w:smartTag w:uri="urn:schemas-microsoft-com:office:smarttags" w:element="metricconverter">
        <w:smartTagPr>
          <w:attr w:name="ProductID" w:val="-22,1 M"/>
        </w:smartTagPr>
        <w:r>
          <w:rPr>
            <w:rFonts w:ascii="Tahoma" w:hAnsi="Tahoma" w:cs="Tahoma"/>
            <w:color w:val="000000"/>
            <w:sz w:val="22"/>
            <w:szCs w:val="22"/>
          </w:rPr>
          <w:t>-22,1 M</w:t>
        </w:r>
      </w:smartTag>
      <w:r>
        <w:rPr>
          <w:rFonts w:ascii="Tahoma" w:hAnsi="Tahoma" w:cs="Tahoma"/>
          <w:color w:val="000000"/>
          <w:sz w:val="22"/>
          <w:szCs w:val="22"/>
        </w:rPr>
        <w:t xml:space="preserve"> </w:t>
      </w:r>
      <w:r w:rsidRPr="00D0708D">
        <w:rPr>
          <w:rFonts w:ascii="Tahoma" w:hAnsi="Tahoma" w:cs="Tahoma"/>
          <w:color w:val="000000"/>
          <w:sz w:val="22"/>
          <w:szCs w:val="22"/>
        </w:rPr>
        <w:t xml:space="preserve">€ </w:t>
      </w:r>
      <w:r>
        <w:rPr>
          <w:rFonts w:ascii="Tahoma" w:hAnsi="Tahoma" w:cs="Tahoma"/>
          <w:color w:val="000000"/>
          <w:sz w:val="22"/>
          <w:szCs w:val="22"/>
        </w:rPr>
        <w:t xml:space="preserve">ya </w:t>
      </w:r>
      <w:r w:rsidRPr="00D0708D">
        <w:rPr>
          <w:rFonts w:ascii="Tahoma" w:hAnsi="Tahoma" w:cs="Tahoma"/>
          <w:color w:val="000000"/>
          <w:sz w:val="22"/>
          <w:szCs w:val="22"/>
        </w:rPr>
        <w:t>que</w:t>
      </w:r>
      <w:r>
        <w:rPr>
          <w:rFonts w:ascii="Tahoma" w:hAnsi="Tahoma" w:cs="Tahoma"/>
          <w:color w:val="000000"/>
          <w:sz w:val="22"/>
          <w:szCs w:val="22"/>
        </w:rPr>
        <w:t xml:space="preserve"> el Cabildo no tiene previsto la concertación de operaciones de crédito. </w:t>
      </w:r>
    </w:p>
    <w:p w:rsidR="00B9049A" w:rsidRDefault="00B9049A" w:rsidP="0057518F">
      <w:pPr>
        <w:spacing w:before="100" w:beforeAutospacing="1" w:after="100" w:afterAutospacing="1" w:line="360" w:lineRule="auto"/>
        <w:jc w:val="both"/>
        <w:rPr>
          <w:rFonts w:ascii="Tahoma" w:hAnsi="Tahoma" w:cs="Tahoma"/>
          <w:sz w:val="22"/>
          <w:szCs w:val="22"/>
        </w:rPr>
      </w:pPr>
      <w:r>
        <w:rPr>
          <w:rFonts w:ascii="Tahoma" w:hAnsi="Tahoma" w:cs="Tahoma"/>
          <w:sz w:val="22"/>
          <w:szCs w:val="22"/>
        </w:rPr>
        <w:t xml:space="preserve">De los datos expuestos cabe destacar como </w:t>
      </w:r>
      <w:r w:rsidRPr="0057518F">
        <w:rPr>
          <w:rFonts w:ascii="Tahoma" w:hAnsi="Tahoma" w:cs="Tahoma"/>
          <w:b/>
          <w:bCs/>
          <w:sz w:val="22"/>
          <w:szCs w:val="22"/>
        </w:rPr>
        <w:t>notas más relevantes:</w:t>
      </w:r>
    </w:p>
    <w:p w:rsidR="00B9049A" w:rsidRDefault="00B9049A" w:rsidP="000D4472">
      <w:pPr>
        <w:numPr>
          <w:ilvl w:val="1"/>
          <w:numId w:val="25"/>
        </w:numPr>
        <w:spacing w:before="100" w:beforeAutospacing="1" w:after="100" w:afterAutospacing="1" w:line="360" w:lineRule="auto"/>
        <w:jc w:val="both"/>
        <w:rPr>
          <w:rFonts w:ascii="Tahoma" w:hAnsi="Tahoma" w:cs="Tahoma"/>
          <w:color w:val="000000"/>
          <w:sz w:val="22"/>
          <w:szCs w:val="22"/>
        </w:rPr>
      </w:pPr>
      <w:r w:rsidRPr="004D4597">
        <w:rPr>
          <w:rFonts w:ascii="Tahoma" w:hAnsi="Tahoma" w:cs="Tahoma"/>
          <w:color w:val="000000"/>
          <w:sz w:val="22"/>
          <w:szCs w:val="22"/>
        </w:rPr>
        <w:t xml:space="preserve">En lo que se refiere al </w:t>
      </w:r>
      <w:r w:rsidRPr="004D4597">
        <w:rPr>
          <w:rFonts w:ascii="Tahoma" w:hAnsi="Tahoma" w:cs="Tahoma"/>
          <w:b/>
          <w:bCs/>
          <w:color w:val="000000"/>
          <w:sz w:val="22"/>
          <w:szCs w:val="22"/>
        </w:rPr>
        <w:t>ahorro bruto</w:t>
      </w:r>
      <w:r w:rsidRPr="004D4597">
        <w:rPr>
          <w:rFonts w:ascii="Tahoma" w:hAnsi="Tahoma" w:cs="Tahoma"/>
          <w:color w:val="000000"/>
          <w:sz w:val="22"/>
          <w:szCs w:val="22"/>
        </w:rPr>
        <w:t>, se aprecia un</w:t>
      </w:r>
      <w:r>
        <w:rPr>
          <w:rFonts w:ascii="Tahoma" w:hAnsi="Tahoma" w:cs="Tahoma"/>
          <w:color w:val="000000"/>
          <w:sz w:val="22"/>
          <w:szCs w:val="22"/>
        </w:rPr>
        <w:t xml:space="preserve"> incremento</w:t>
      </w:r>
      <w:r w:rsidRPr="004D4597">
        <w:rPr>
          <w:rFonts w:ascii="Tahoma" w:hAnsi="Tahoma" w:cs="Tahoma"/>
          <w:color w:val="000000"/>
          <w:sz w:val="22"/>
          <w:szCs w:val="22"/>
        </w:rPr>
        <w:t xml:space="preserve"> en su importe, tanto en términos absolutos como relativos. Así, dicho ahorro ha pasado de </w:t>
      </w:r>
      <w:r>
        <w:rPr>
          <w:rFonts w:ascii="Tahoma" w:hAnsi="Tahoma" w:cs="Tahoma"/>
          <w:color w:val="000000"/>
          <w:sz w:val="22"/>
          <w:szCs w:val="22"/>
        </w:rPr>
        <w:t xml:space="preserve">162,6 millones </w:t>
      </w:r>
      <w:r w:rsidRPr="004D4597">
        <w:rPr>
          <w:rFonts w:ascii="Tahoma" w:hAnsi="Tahoma" w:cs="Tahoma"/>
          <w:color w:val="000000"/>
          <w:sz w:val="22"/>
          <w:szCs w:val="22"/>
        </w:rPr>
        <w:t>a 1</w:t>
      </w:r>
      <w:r>
        <w:rPr>
          <w:rFonts w:ascii="Tahoma" w:hAnsi="Tahoma" w:cs="Tahoma"/>
          <w:color w:val="000000"/>
          <w:sz w:val="22"/>
          <w:szCs w:val="22"/>
        </w:rPr>
        <w:t>79,2</w:t>
      </w:r>
      <w:r w:rsidRPr="004D4597">
        <w:rPr>
          <w:rFonts w:ascii="Tahoma" w:hAnsi="Tahoma" w:cs="Tahoma"/>
          <w:color w:val="000000"/>
          <w:sz w:val="22"/>
          <w:szCs w:val="22"/>
        </w:rPr>
        <w:t xml:space="preserve"> millones, lo que supone un </w:t>
      </w:r>
      <w:r>
        <w:rPr>
          <w:rFonts w:ascii="Tahoma" w:hAnsi="Tahoma" w:cs="Tahoma"/>
          <w:color w:val="000000"/>
          <w:sz w:val="22"/>
          <w:szCs w:val="22"/>
        </w:rPr>
        <w:t xml:space="preserve">aumento del 10,3%. A </w:t>
      </w:r>
      <w:r w:rsidRPr="004D4597">
        <w:rPr>
          <w:rFonts w:ascii="Tahoma" w:hAnsi="Tahoma" w:cs="Tahoma"/>
          <w:color w:val="000000"/>
          <w:sz w:val="22"/>
          <w:szCs w:val="22"/>
        </w:rPr>
        <w:t xml:space="preserve">su vez </w:t>
      </w:r>
      <w:r>
        <w:rPr>
          <w:rFonts w:ascii="Tahoma" w:hAnsi="Tahoma" w:cs="Tahoma"/>
          <w:color w:val="000000"/>
          <w:sz w:val="22"/>
          <w:szCs w:val="22"/>
        </w:rPr>
        <w:t xml:space="preserve">dicho ahorro </w:t>
      </w:r>
      <w:r w:rsidRPr="004D4597">
        <w:rPr>
          <w:rFonts w:ascii="Tahoma" w:hAnsi="Tahoma" w:cs="Tahoma"/>
          <w:color w:val="000000"/>
          <w:sz w:val="22"/>
          <w:szCs w:val="22"/>
        </w:rPr>
        <w:t>representa un 2</w:t>
      </w:r>
      <w:r>
        <w:rPr>
          <w:rFonts w:ascii="Tahoma" w:hAnsi="Tahoma" w:cs="Tahoma"/>
          <w:color w:val="000000"/>
          <w:sz w:val="22"/>
          <w:szCs w:val="22"/>
        </w:rPr>
        <w:t>2,73</w:t>
      </w:r>
      <w:r w:rsidRPr="004D4597">
        <w:rPr>
          <w:rFonts w:ascii="Tahoma" w:hAnsi="Tahoma" w:cs="Tahoma"/>
          <w:color w:val="000000"/>
          <w:sz w:val="22"/>
          <w:szCs w:val="22"/>
        </w:rPr>
        <w:t xml:space="preserve">% respecto de los ingresos corrientes de </w:t>
      </w:r>
      <w:smartTag w:uri="urn:schemas-microsoft-com:office:smarttags" w:element="PersonName">
        <w:smartTagPr>
          <w:attr w:name="ProductID" w:val="la Corporación. En"/>
        </w:smartTagPr>
        <w:r w:rsidRPr="004D4597">
          <w:rPr>
            <w:rFonts w:ascii="Tahoma" w:hAnsi="Tahoma" w:cs="Tahoma"/>
            <w:color w:val="000000"/>
            <w:sz w:val="22"/>
            <w:szCs w:val="22"/>
          </w:rPr>
          <w:t xml:space="preserve">la Corporación. </w:t>
        </w:r>
        <w:r w:rsidRPr="00C22631">
          <w:rPr>
            <w:rFonts w:ascii="Tahoma" w:hAnsi="Tahoma" w:cs="Tahoma"/>
            <w:color w:val="000000"/>
            <w:sz w:val="22"/>
            <w:szCs w:val="22"/>
          </w:rPr>
          <w:t>En</w:t>
        </w:r>
      </w:smartTag>
      <w:r w:rsidRPr="00C22631">
        <w:rPr>
          <w:rFonts w:ascii="Tahoma" w:hAnsi="Tahoma" w:cs="Tahoma"/>
          <w:color w:val="000000"/>
          <w:sz w:val="22"/>
          <w:szCs w:val="22"/>
        </w:rPr>
        <w:t xml:space="preserve"> el ejercicio 201</w:t>
      </w:r>
      <w:r>
        <w:rPr>
          <w:rFonts w:ascii="Tahoma" w:hAnsi="Tahoma" w:cs="Tahoma"/>
          <w:color w:val="000000"/>
          <w:sz w:val="22"/>
          <w:szCs w:val="22"/>
        </w:rPr>
        <w:t>8</w:t>
      </w:r>
      <w:r w:rsidRPr="00C22631">
        <w:rPr>
          <w:rFonts w:ascii="Tahoma" w:hAnsi="Tahoma" w:cs="Tahoma"/>
          <w:color w:val="000000"/>
          <w:sz w:val="22"/>
          <w:szCs w:val="22"/>
        </w:rPr>
        <w:t xml:space="preserve"> tanto </w:t>
      </w:r>
      <w:r w:rsidRPr="004D0121">
        <w:rPr>
          <w:rFonts w:ascii="Tahoma" w:hAnsi="Tahoma" w:cs="Tahoma"/>
          <w:color w:val="000000"/>
          <w:sz w:val="22"/>
          <w:szCs w:val="22"/>
        </w:rPr>
        <w:t xml:space="preserve">los impuestos indirectos - tributos del REF – como las transferencias corrientes </w:t>
      </w:r>
      <w:r>
        <w:rPr>
          <w:rFonts w:ascii="Tahoma" w:hAnsi="Tahoma" w:cs="Tahoma"/>
          <w:color w:val="000000"/>
          <w:sz w:val="22"/>
          <w:szCs w:val="22"/>
        </w:rPr>
        <w:t>derivadas del</w:t>
      </w:r>
      <w:r w:rsidRPr="004D0121">
        <w:rPr>
          <w:rFonts w:ascii="Tahoma" w:hAnsi="Tahoma" w:cs="Tahoma"/>
          <w:color w:val="000000"/>
          <w:sz w:val="22"/>
          <w:szCs w:val="22"/>
        </w:rPr>
        <w:t xml:space="preserve"> FDCAN y otras aportaciones de </w:t>
      </w:r>
      <w:smartTag w:uri="urn:schemas-microsoft-com:office:smarttags" w:element="PersonName">
        <w:smartTagPr>
          <w:attr w:name="ProductID" w:val="la Comunidad Autónoma"/>
        </w:smartTagPr>
        <w:r w:rsidRPr="004D0121">
          <w:rPr>
            <w:rFonts w:ascii="Tahoma" w:hAnsi="Tahoma" w:cs="Tahoma"/>
            <w:color w:val="000000"/>
            <w:sz w:val="22"/>
            <w:szCs w:val="22"/>
          </w:rPr>
          <w:t>la Comunidad Autónoma</w:t>
        </w:r>
      </w:smartTag>
      <w:r w:rsidRPr="00C22631">
        <w:rPr>
          <w:rFonts w:ascii="Tahoma" w:hAnsi="Tahoma" w:cs="Tahoma"/>
          <w:color w:val="FF0000"/>
          <w:sz w:val="22"/>
          <w:szCs w:val="22"/>
        </w:rPr>
        <w:t xml:space="preserve"> </w:t>
      </w:r>
      <w:r w:rsidRPr="004D0121">
        <w:rPr>
          <w:rFonts w:ascii="Tahoma" w:hAnsi="Tahoma" w:cs="Tahoma"/>
          <w:color w:val="000000"/>
          <w:sz w:val="22"/>
          <w:szCs w:val="22"/>
        </w:rPr>
        <w:t>se incrementan</w:t>
      </w:r>
      <w:r w:rsidRPr="00C22631">
        <w:rPr>
          <w:rFonts w:ascii="Tahoma" w:hAnsi="Tahoma" w:cs="Tahoma"/>
          <w:color w:val="000000"/>
          <w:sz w:val="22"/>
          <w:szCs w:val="22"/>
        </w:rPr>
        <w:t>, los primeros en un 1</w:t>
      </w:r>
      <w:r>
        <w:rPr>
          <w:rFonts w:ascii="Tahoma" w:hAnsi="Tahoma" w:cs="Tahoma"/>
          <w:color w:val="000000"/>
          <w:sz w:val="22"/>
          <w:szCs w:val="22"/>
        </w:rPr>
        <w:t>2</w:t>
      </w:r>
      <w:r w:rsidRPr="00C22631">
        <w:rPr>
          <w:rFonts w:ascii="Tahoma" w:hAnsi="Tahoma" w:cs="Tahoma"/>
          <w:color w:val="000000"/>
          <w:sz w:val="22"/>
          <w:szCs w:val="22"/>
        </w:rPr>
        <w:t xml:space="preserve">% y las segundas en un </w:t>
      </w:r>
      <w:r>
        <w:rPr>
          <w:rFonts w:ascii="Tahoma" w:hAnsi="Tahoma" w:cs="Tahoma"/>
          <w:color w:val="000000"/>
          <w:sz w:val="22"/>
          <w:szCs w:val="22"/>
        </w:rPr>
        <w:t>6</w:t>
      </w:r>
      <w:r w:rsidRPr="00C22631">
        <w:rPr>
          <w:rFonts w:ascii="Tahoma" w:hAnsi="Tahoma" w:cs="Tahoma"/>
          <w:color w:val="000000"/>
          <w:sz w:val="22"/>
          <w:szCs w:val="22"/>
        </w:rPr>
        <w:t xml:space="preserve">,6%. Esta magnitud de ahorro bruto </w:t>
      </w:r>
      <w:r>
        <w:rPr>
          <w:rFonts w:ascii="Tahoma" w:hAnsi="Tahoma" w:cs="Tahoma"/>
          <w:color w:val="000000"/>
          <w:sz w:val="22"/>
          <w:szCs w:val="22"/>
        </w:rPr>
        <w:t>crece</w:t>
      </w:r>
      <w:r w:rsidRPr="00C22631">
        <w:rPr>
          <w:rFonts w:ascii="Tahoma" w:hAnsi="Tahoma" w:cs="Tahoma"/>
          <w:color w:val="000000"/>
          <w:sz w:val="22"/>
          <w:szCs w:val="22"/>
        </w:rPr>
        <w:t xml:space="preserve">, al igual que el año pasado, </w:t>
      </w:r>
      <w:r>
        <w:rPr>
          <w:rFonts w:ascii="Tahoma" w:hAnsi="Tahoma" w:cs="Tahoma"/>
          <w:color w:val="000000"/>
          <w:sz w:val="22"/>
          <w:szCs w:val="22"/>
        </w:rPr>
        <w:t>por encima de</w:t>
      </w:r>
      <w:r w:rsidRPr="00C22631">
        <w:rPr>
          <w:rFonts w:ascii="Tahoma" w:hAnsi="Tahoma" w:cs="Tahoma"/>
          <w:color w:val="000000"/>
          <w:sz w:val="22"/>
          <w:szCs w:val="22"/>
        </w:rPr>
        <w:t xml:space="preserve"> la senda en la que se encontraba en los años previos al inicio de la crisis, </w:t>
      </w:r>
      <w:r w:rsidRPr="00AA2CDB">
        <w:rPr>
          <w:rFonts w:ascii="Tahoma" w:hAnsi="Tahoma" w:cs="Tahoma"/>
          <w:color w:val="000000"/>
          <w:sz w:val="22"/>
          <w:szCs w:val="22"/>
        </w:rPr>
        <w:t>destinándose</w:t>
      </w:r>
      <w:r>
        <w:rPr>
          <w:rFonts w:ascii="Tahoma" w:hAnsi="Tahoma" w:cs="Tahoma"/>
          <w:color w:val="000000"/>
          <w:sz w:val="22"/>
          <w:szCs w:val="22"/>
        </w:rPr>
        <w:t xml:space="preserve"> </w:t>
      </w:r>
      <w:r w:rsidRPr="00AA2CDB">
        <w:rPr>
          <w:rFonts w:ascii="Tahoma" w:hAnsi="Tahoma" w:cs="Tahoma"/>
          <w:color w:val="000000"/>
          <w:sz w:val="22"/>
          <w:szCs w:val="22"/>
        </w:rPr>
        <w:t>junto a los ingresos de capital (</w:t>
      </w:r>
      <w:r>
        <w:rPr>
          <w:rFonts w:ascii="Tahoma" w:hAnsi="Tahoma" w:cs="Tahoma"/>
          <w:color w:val="000000"/>
          <w:sz w:val="22"/>
          <w:szCs w:val="22"/>
        </w:rPr>
        <w:t>56</w:t>
      </w:r>
      <w:r w:rsidRPr="00AA2CDB">
        <w:rPr>
          <w:rFonts w:ascii="Tahoma" w:hAnsi="Tahoma" w:cs="Tahoma"/>
          <w:color w:val="000000"/>
          <w:sz w:val="22"/>
          <w:szCs w:val="22"/>
        </w:rPr>
        <w:t>,</w:t>
      </w:r>
      <w:r>
        <w:rPr>
          <w:rFonts w:ascii="Tahoma" w:hAnsi="Tahoma" w:cs="Tahoma"/>
          <w:color w:val="000000"/>
          <w:sz w:val="22"/>
          <w:szCs w:val="22"/>
        </w:rPr>
        <w:t>1</w:t>
      </w:r>
      <w:r w:rsidRPr="00AA2CDB">
        <w:rPr>
          <w:rFonts w:ascii="Tahoma" w:hAnsi="Tahoma" w:cs="Tahoma"/>
          <w:color w:val="000000"/>
          <w:sz w:val="22"/>
          <w:szCs w:val="22"/>
        </w:rPr>
        <w:t xml:space="preserve"> millones)</w:t>
      </w:r>
      <w:r>
        <w:rPr>
          <w:rFonts w:ascii="Tahoma" w:hAnsi="Tahoma" w:cs="Tahoma"/>
          <w:color w:val="000000"/>
          <w:sz w:val="22"/>
          <w:szCs w:val="22"/>
        </w:rPr>
        <w:t>,</w:t>
      </w:r>
      <w:r w:rsidRPr="00AA2CDB">
        <w:rPr>
          <w:rFonts w:ascii="Tahoma" w:hAnsi="Tahoma" w:cs="Tahoma"/>
          <w:color w:val="000000"/>
          <w:sz w:val="22"/>
          <w:szCs w:val="22"/>
        </w:rPr>
        <w:t xml:space="preserve"> </w:t>
      </w:r>
      <w:r>
        <w:rPr>
          <w:rFonts w:ascii="Tahoma" w:hAnsi="Tahoma" w:cs="Tahoma"/>
          <w:color w:val="000000"/>
          <w:sz w:val="22"/>
          <w:szCs w:val="22"/>
        </w:rPr>
        <w:t xml:space="preserve">tanto </w:t>
      </w:r>
      <w:r w:rsidRPr="00AA2CDB">
        <w:rPr>
          <w:rFonts w:ascii="Tahoma" w:hAnsi="Tahoma" w:cs="Tahoma"/>
          <w:color w:val="000000"/>
          <w:sz w:val="22"/>
          <w:szCs w:val="22"/>
        </w:rPr>
        <w:t>a la financiación de las inversiones directas o indirectas de la Corporación</w:t>
      </w:r>
      <w:r>
        <w:rPr>
          <w:rFonts w:ascii="Tahoma" w:hAnsi="Tahoma" w:cs="Tahoma"/>
          <w:color w:val="000000"/>
          <w:sz w:val="22"/>
          <w:szCs w:val="22"/>
        </w:rPr>
        <w:t xml:space="preserve"> como a la amortización de deuda</w:t>
      </w:r>
      <w:r w:rsidRPr="00AA2CDB">
        <w:rPr>
          <w:rFonts w:ascii="Tahoma" w:hAnsi="Tahoma" w:cs="Tahoma"/>
          <w:color w:val="000000"/>
          <w:sz w:val="22"/>
          <w:szCs w:val="22"/>
        </w:rPr>
        <w:t>.</w:t>
      </w:r>
    </w:p>
    <w:p w:rsidR="00B9049A" w:rsidRPr="00041433" w:rsidRDefault="00B9049A" w:rsidP="007E3601">
      <w:pPr>
        <w:spacing w:before="100" w:beforeAutospacing="1" w:after="100" w:afterAutospacing="1" w:line="360" w:lineRule="auto"/>
        <w:ind w:left="928"/>
        <w:jc w:val="both"/>
        <w:rPr>
          <w:rFonts w:ascii="Tahoma" w:hAnsi="Tahoma" w:cs="Tahoma"/>
          <w:color w:val="000000"/>
          <w:sz w:val="22"/>
          <w:szCs w:val="22"/>
        </w:rPr>
      </w:pPr>
      <w:r w:rsidRPr="004C26AB">
        <w:rPr>
          <w:rFonts w:ascii="Tahoma" w:hAnsi="Tahoma" w:cs="Tahoma"/>
          <w:color w:val="000000"/>
          <w:sz w:val="22"/>
          <w:szCs w:val="22"/>
        </w:rPr>
        <w:t xml:space="preserve">El </w:t>
      </w:r>
      <w:r w:rsidRPr="004D4597">
        <w:rPr>
          <w:rFonts w:ascii="Tahoma" w:hAnsi="Tahoma" w:cs="Tahoma"/>
          <w:color w:val="000000"/>
          <w:sz w:val="22"/>
          <w:szCs w:val="22"/>
        </w:rPr>
        <w:t>siguiente gráfico refleja</w:t>
      </w:r>
      <w:r w:rsidRPr="004C26AB">
        <w:rPr>
          <w:rFonts w:ascii="Tahoma" w:hAnsi="Tahoma" w:cs="Tahoma"/>
          <w:color w:val="000000"/>
          <w:sz w:val="22"/>
          <w:szCs w:val="22"/>
        </w:rPr>
        <w:t xml:space="preserve"> la evolución del ahorro bruto </w:t>
      </w:r>
      <w:r>
        <w:rPr>
          <w:rFonts w:ascii="Tahoma" w:hAnsi="Tahoma" w:cs="Tahoma"/>
          <w:color w:val="000000"/>
          <w:sz w:val="22"/>
          <w:szCs w:val="22"/>
        </w:rPr>
        <w:t xml:space="preserve">resultante de los presupuestos </w:t>
      </w:r>
      <w:r w:rsidRPr="004C26AB">
        <w:rPr>
          <w:rFonts w:ascii="Tahoma" w:hAnsi="Tahoma" w:cs="Tahoma"/>
          <w:color w:val="000000"/>
          <w:sz w:val="22"/>
          <w:szCs w:val="22"/>
        </w:rPr>
        <w:t>del Cabildo para el período 2006</w:t>
      </w:r>
      <w:r>
        <w:rPr>
          <w:rFonts w:ascii="Tahoma" w:hAnsi="Tahoma" w:cs="Tahoma"/>
          <w:color w:val="000000"/>
          <w:sz w:val="22"/>
          <w:szCs w:val="22"/>
        </w:rPr>
        <w:t xml:space="preserve"> </w:t>
      </w:r>
      <w:r w:rsidRPr="004C26AB">
        <w:rPr>
          <w:rFonts w:ascii="Tahoma" w:hAnsi="Tahoma" w:cs="Tahoma"/>
          <w:color w:val="000000"/>
          <w:sz w:val="22"/>
          <w:szCs w:val="22"/>
        </w:rPr>
        <w:t>–</w:t>
      </w:r>
      <w:r>
        <w:rPr>
          <w:rFonts w:ascii="Tahoma" w:hAnsi="Tahoma" w:cs="Tahoma"/>
          <w:color w:val="000000"/>
          <w:sz w:val="22"/>
          <w:szCs w:val="22"/>
        </w:rPr>
        <w:t xml:space="preserve"> </w:t>
      </w:r>
      <w:r w:rsidRPr="004C26AB">
        <w:rPr>
          <w:rFonts w:ascii="Tahoma" w:hAnsi="Tahoma" w:cs="Tahoma"/>
          <w:color w:val="000000"/>
          <w:sz w:val="22"/>
          <w:szCs w:val="22"/>
        </w:rPr>
        <w:t>201</w:t>
      </w:r>
      <w:r>
        <w:rPr>
          <w:rFonts w:ascii="Tahoma" w:hAnsi="Tahoma" w:cs="Tahoma"/>
          <w:color w:val="000000"/>
          <w:sz w:val="22"/>
          <w:szCs w:val="22"/>
        </w:rPr>
        <w:t>8</w:t>
      </w:r>
      <w:r w:rsidRPr="004C26AB">
        <w:rPr>
          <w:rFonts w:ascii="Tahoma" w:hAnsi="Tahoma" w:cs="Tahoma"/>
          <w:color w:val="000000"/>
          <w:sz w:val="22"/>
          <w:szCs w:val="22"/>
        </w:rPr>
        <w:t xml:space="preserve">, expresado en porcentaje sobre el total de ingresos corrientes y su comparación con los entes asimilados (Cabildos, Diputaciones y </w:t>
      </w:r>
      <w:r w:rsidRPr="004C26AB">
        <w:rPr>
          <w:rFonts w:ascii="Tahoma" w:hAnsi="Tahoma" w:cs="Tahoma"/>
          <w:color w:val="000000"/>
          <w:sz w:val="22"/>
          <w:szCs w:val="22"/>
        </w:rPr>
        <w:lastRenderedPageBreak/>
        <w:t>Consejos Insulares), donde se aprecia que el Cabildo Insular de Tenerife</w:t>
      </w:r>
      <w:r w:rsidRPr="00AB7DEB">
        <w:rPr>
          <w:rFonts w:ascii="Tahoma" w:hAnsi="Tahoma" w:cs="Tahoma"/>
          <w:color w:val="000000"/>
          <w:sz w:val="22"/>
          <w:szCs w:val="22"/>
        </w:rPr>
        <w:t xml:space="preserve">, mantiene un ahorro </w:t>
      </w:r>
      <w:r w:rsidRPr="00041433">
        <w:rPr>
          <w:rFonts w:ascii="Tahoma" w:hAnsi="Tahoma" w:cs="Tahoma"/>
          <w:color w:val="000000"/>
          <w:sz w:val="22"/>
          <w:szCs w:val="22"/>
        </w:rPr>
        <w:t xml:space="preserve">bruto </w:t>
      </w:r>
      <w:r>
        <w:rPr>
          <w:rFonts w:ascii="Tahoma" w:hAnsi="Tahoma" w:cs="Tahoma"/>
          <w:color w:val="000000"/>
          <w:sz w:val="22"/>
          <w:szCs w:val="22"/>
        </w:rPr>
        <w:t>que duplica</w:t>
      </w:r>
      <w:r w:rsidRPr="00041433">
        <w:rPr>
          <w:rFonts w:ascii="Tahoma" w:hAnsi="Tahoma" w:cs="Tahoma"/>
          <w:color w:val="000000"/>
          <w:sz w:val="22"/>
          <w:szCs w:val="22"/>
        </w:rPr>
        <w:t xml:space="preserve"> la media </w:t>
      </w:r>
      <w:r>
        <w:rPr>
          <w:rFonts w:ascii="Tahoma" w:hAnsi="Tahoma" w:cs="Tahoma"/>
          <w:color w:val="000000"/>
          <w:sz w:val="22"/>
          <w:szCs w:val="22"/>
        </w:rPr>
        <w:t>de</w:t>
      </w:r>
      <w:r w:rsidRPr="00041433">
        <w:rPr>
          <w:rFonts w:ascii="Tahoma" w:hAnsi="Tahoma" w:cs="Tahoma"/>
          <w:color w:val="000000"/>
          <w:sz w:val="22"/>
          <w:szCs w:val="22"/>
        </w:rPr>
        <w:t xml:space="preserve"> dichos entes</w:t>
      </w:r>
      <w:r>
        <w:rPr>
          <w:rFonts w:ascii="Tahoma" w:hAnsi="Tahoma" w:cs="Tahoma"/>
          <w:color w:val="000000"/>
          <w:sz w:val="22"/>
          <w:szCs w:val="22"/>
        </w:rPr>
        <w:t>, a falta de los datos de éstos de 2018.</w:t>
      </w:r>
    </w:p>
    <w:p w:rsidR="00B9049A" w:rsidRPr="00ED2C60" w:rsidRDefault="0026194C" w:rsidP="001F78E9">
      <w:pPr>
        <w:spacing w:before="100" w:beforeAutospacing="1" w:after="100" w:afterAutospacing="1" w:line="360" w:lineRule="auto"/>
        <w:ind w:left="426"/>
        <w:jc w:val="both"/>
        <w:rPr>
          <w:rFonts w:ascii="Tahoma" w:hAnsi="Tahoma" w:cs="Tahoma"/>
          <w:color w:val="000000"/>
          <w:sz w:val="22"/>
          <w:szCs w:val="22"/>
        </w:rPr>
      </w:pPr>
      <w:r>
        <w:rPr>
          <w:noProof/>
        </w:rPr>
        <w:drawing>
          <wp:inline distT="0" distB="0" distL="0" distR="0">
            <wp:extent cx="6108700" cy="2870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08700" cy="2870200"/>
                    </a:xfrm>
                    <a:prstGeom prst="rect">
                      <a:avLst/>
                    </a:prstGeom>
                    <a:noFill/>
                    <a:ln w="9525">
                      <a:noFill/>
                      <a:miter lim="800000"/>
                      <a:headEnd/>
                      <a:tailEnd/>
                    </a:ln>
                  </pic:spPr>
                </pic:pic>
              </a:graphicData>
            </a:graphic>
          </wp:inline>
        </w:drawing>
      </w:r>
    </w:p>
    <w:p w:rsidR="00B9049A" w:rsidRPr="00EA5FFE" w:rsidRDefault="00B9049A" w:rsidP="00EA5FFE">
      <w:pPr>
        <w:numPr>
          <w:ilvl w:val="1"/>
          <w:numId w:val="25"/>
        </w:numPr>
        <w:spacing w:before="100" w:beforeAutospacing="1" w:after="100" w:afterAutospacing="1" w:line="360" w:lineRule="auto"/>
        <w:jc w:val="both"/>
        <w:rPr>
          <w:rFonts w:ascii="Tahoma" w:hAnsi="Tahoma" w:cs="Tahoma"/>
          <w:color w:val="000000"/>
          <w:sz w:val="22"/>
          <w:szCs w:val="22"/>
        </w:rPr>
      </w:pPr>
      <w:r>
        <w:rPr>
          <w:rFonts w:ascii="Tahoma" w:hAnsi="Tahoma" w:cs="Tahoma"/>
          <w:color w:val="000000"/>
          <w:sz w:val="22"/>
          <w:szCs w:val="22"/>
        </w:rPr>
        <w:t>L</w:t>
      </w:r>
      <w:r w:rsidRPr="00BB122B">
        <w:rPr>
          <w:rFonts w:ascii="Tahoma" w:hAnsi="Tahoma" w:cs="Tahoma"/>
          <w:color w:val="000000"/>
          <w:sz w:val="22"/>
          <w:szCs w:val="22"/>
        </w:rPr>
        <w:t xml:space="preserve">a Corporación </w:t>
      </w:r>
      <w:r>
        <w:rPr>
          <w:rFonts w:ascii="Tahoma" w:hAnsi="Tahoma" w:cs="Tahoma"/>
          <w:color w:val="000000"/>
          <w:sz w:val="22"/>
          <w:szCs w:val="22"/>
        </w:rPr>
        <w:t>ha hecho un importante esfuerzo inversor,</w:t>
      </w:r>
      <w:r w:rsidRPr="00BB122B">
        <w:rPr>
          <w:rFonts w:ascii="Tahoma" w:hAnsi="Tahoma" w:cs="Tahoma"/>
          <w:color w:val="000000"/>
          <w:sz w:val="22"/>
          <w:szCs w:val="22"/>
        </w:rPr>
        <w:t xml:space="preserve"> al pasar de 46 millones de euros en el Presupuesto de 2013 en gastos de capital </w:t>
      </w:r>
      <w:r>
        <w:rPr>
          <w:rFonts w:ascii="Tahoma" w:hAnsi="Tahoma" w:cs="Tahoma"/>
          <w:color w:val="000000"/>
          <w:sz w:val="22"/>
          <w:szCs w:val="22"/>
        </w:rPr>
        <w:t xml:space="preserve">a </w:t>
      </w:r>
      <w:r w:rsidRPr="00BB122B">
        <w:rPr>
          <w:rFonts w:ascii="Tahoma" w:hAnsi="Tahoma" w:cs="Tahoma"/>
          <w:color w:val="000000"/>
          <w:sz w:val="22"/>
          <w:szCs w:val="22"/>
        </w:rPr>
        <w:t>21</w:t>
      </w:r>
      <w:r>
        <w:rPr>
          <w:rFonts w:ascii="Tahoma" w:hAnsi="Tahoma" w:cs="Tahoma"/>
          <w:color w:val="000000"/>
          <w:sz w:val="22"/>
          <w:szCs w:val="22"/>
        </w:rPr>
        <w:t>3</w:t>
      </w:r>
      <w:r w:rsidRPr="00BB122B">
        <w:rPr>
          <w:rFonts w:ascii="Tahoma" w:hAnsi="Tahoma" w:cs="Tahoma"/>
          <w:color w:val="000000"/>
          <w:sz w:val="22"/>
          <w:szCs w:val="22"/>
        </w:rPr>
        <w:t>,</w:t>
      </w:r>
      <w:r>
        <w:rPr>
          <w:rFonts w:ascii="Tahoma" w:hAnsi="Tahoma" w:cs="Tahoma"/>
          <w:color w:val="000000"/>
          <w:sz w:val="22"/>
          <w:szCs w:val="22"/>
        </w:rPr>
        <w:t>2</w:t>
      </w:r>
      <w:r w:rsidRPr="00BB122B">
        <w:rPr>
          <w:rFonts w:ascii="Tahoma" w:hAnsi="Tahoma" w:cs="Tahoma"/>
          <w:color w:val="000000"/>
          <w:sz w:val="22"/>
          <w:szCs w:val="22"/>
        </w:rPr>
        <w:t xml:space="preserve"> millones en el Presupuesto de 201</w:t>
      </w:r>
      <w:r>
        <w:rPr>
          <w:rFonts w:ascii="Tahoma" w:hAnsi="Tahoma" w:cs="Tahoma"/>
          <w:color w:val="000000"/>
          <w:sz w:val="22"/>
          <w:szCs w:val="22"/>
        </w:rPr>
        <w:t>8</w:t>
      </w:r>
      <w:r w:rsidRPr="00BB122B">
        <w:rPr>
          <w:rFonts w:ascii="Tahoma" w:hAnsi="Tahoma" w:cs="Tahoma"/>
          <w:color w:val="000000"/>
          <w:sz w:val="22"/>
          <w:szCs w:val="22"/>
        </w:rPr>
        <w:t xml:space="preserve">, lo que supone un aumento de un </w:t>
      </w:r>
      <w:r>
        <w:rPr>
          <w:rFonts w:ascii="Tahoma" w:hAnsi="Tahoma" w:cs="Tahoma"/>
          <w:color w:val="000000"/>
          <w:sz w:val="22"/>
          <w:szCs w:val="22"/>
        </w:rPr>
        <w:t>363</w:t>
      </w:r>
      <w:r w:rsidRPr="00BB122B">
        <w:rPr>
          <w:rFonts w:ascii="Tahoma" w:hAnsi="Tahoma" w:cs="Tahoma"/>
          <w:color w:val="000000"/>
          <w:sz w:val="22"/>
          <w:szCs w:val="22"/>
        </w:rPr>
        <w:t>%.</w:t>
      </w:r>
    </w:p>
    <w:p w:rsidR="00B9049A" w:rsidRPr="00BB122B" w:rsidRDefault="00B9049A" w:rsidP="006E3966">
      <w:pPr>
        <w:numPr>
          <w:ilvl w:val="1"/>
          <w:numId w:val="25"/>
        </w:numPr>
        <w:spacing w:before="100" w:beforeAutospacing="1" w:after="100" w:afterAutospacing="1" w:line="360" w:lineRule="auto"/>
        <w:jc w:val="both"/>
        <w:rPr>
          <w:rFonts w:ascii="Tahoma" w:hAnsi="Tahoma" w:cs="Tahoma"/>
          <w:color w:val="FF0000"/>
          <w:sz w:val="22"/>
          <w:szCs w:val="22"/>
        </w:rPr>
      </w:pPr>
      <w:r>
        <w:rPr>
          <w:rFonts w:ascii="Tahoma" w:hAnsi="Tahoma" w:cs="Tahoma"/>
          <w:color w:val="000000"/>
          <w:sz w:val="22"/>
          <w:szCs w:val="22"/>
        </w:rPr>
        <w:t>S</w:t>
      </w:r>
      <w:r w:rsidRPr="00041433">
        <w:rPr>
          <w:rFonts w:ascii="Tahoma" w:hAnsi="Tahoma" w:cs="Tahoma"/>
          <w:color w:val="000000"/>
          <w:sz w:val="22"/>
          <w:szCs w:val="22"/>
        </w:rPr>
        <w:t xml:space="preserve">e mantiene </w:t>
      </w:r>
      <w:r>
        <w:rPr>
          <w:rFonts w:ascii="Tahoma" w:hAnsi="Tahoma" w:cs="Tahoma"/>
          <w:color w:val="000000"/>
          <w:sz w:val="22"/>
          <w:szCs w:val="22"/>
        </w:rPr>
        <w:t>la</w:t>
      </w:r>
      <w:r w:rsidRPr="00041433">
        <w:rPr>
          <w:rFonts w:ascii="Tahoma" w:hAnsi="Tahoma" w:cs="Tahoma"/>
          <w:color w:val="000000"/>
          <w:sz w:val="22"/>
          <w:szCs w:val="22"/>
        </w:rPr>
        <w:t xml:space="preserve"> situación de </w:t>
      </w:r>
      <w:r w:rsidRPr="00041433">
        <w:rPr>
          <w:rFonts w:ascii="Tahoma" w:hAnsi="Tahoma" w:cs="Tahoma"/>
          <w:b/>
          <w:bCs/>
          <w:color w:val="000000"/>
          <w:sz w:val="22"/>
          <w:szCs w:val="22"/>
        </w:rPr>
        <w:t>superávit presupuestario medido en términos</w:t>
      </w:r>
      <w:r w:rsidRPr="006E3966">
        <w:rPr>
          <w:rFonts w:ascii="Tahoma" w:hAnsi="Tahoma" w:cs="Tahoma"/>
          <w:b/>
          <w:bCs/>
          <w:color w:val="000000"/>
          <w:sz w:val="22"/>
          <w:szCs w:val="22"/>
        </w:rPr>
        <w:t xml:space="preserve"> de contabilidad nacional</w:t>
      </w:r>
      <w:r w:rsidRPr="006E3966">
        <w:rPr>
          <w:rFonts w:ascii="Tahoma" w:hAnsi="Tahoma" w:cs="Tahoma"/>
          <w:color w:val="000000"/>
          <w:sz w:val="22"/>
          <w:szCs w:val="22"/>
        </w:rPr>
        <w:t xml:space="preserve"> (saldo de operaciones no financieras). Así, la diferencia entre ingresos y gastos presupuestarios de los capítulos I a VII (operaciones no financieras) presenta un </w:t>
      </w:r>
      <w:r w:rsidRPr="006E3966">
        <w:rPr>
          <w:rFonts w:ascii="Tahoma" w:hAnsi="Tahoma" w:cs="Tahoma"/>
          <w:b/>
          <w:bCs/>
          <w:color w:val="000000"/>
          <w:sz w:val="22"/>
          <w:szCs w:val="22"/>
        </w:rPr>
        <w:t xml:space="preserve">superávit de </w:t>
      </w:r>
      <w:smartTag w:uri="urn:schemas-microsoft-com:office:smarttags" w:element="metricconverter">
        <w:smartTagPr>
          <w:attr w:name="ProductID" w:val="22,1 M"/>
        </w:smartTagPr>
        <w:r>
          <w:rPr>
            <w:rFonts w:ascii="Tahoma" w:hAnsi="Tahoma" w:cs="Tahoma"/>
            <w:b/>
            <w:bCs/>
            <w:color w:val="000000"/>
            <w:sz w:val="22"/>
            <w:szCs w:val="22"/>
          </w:rPr>
          <w:t>22,1</w:t>
        </w:r>
        <w:r w:rsidRPr="006E3966">
          <w:rPr>
            <w:rFonts w:ascii="Tahoma" w:hAnsi="Tahoma" w:cs="Tahoma"/>
            <w:b/>
            <w:bCs/>
            <w:color w:val="000000"/>
            <w:sz w:val="22"/>
            <w:szCs w:val="22"/>
          </w:rPr>
          <w:t xml:space="preserve"> M</w:t>
        </w:r>
      </w:smartTag>
      <w:r w:rsidRPr="006E3966">
        <w:rPr>
          <w:rFonts w:ascii="Tahoma" w:hAnsi="Tahoma" w:cs="Tahoma"/>
          <w:b/>
          <w:bCs/>
          <w:color w:val="000000"/>
          <w:sz w:val="22"/>
          <w:szCs w:val="22"/>
        </w:rPr>
        <w:t xml:space="preserve"> €</w:t>
      </w:r>
      <w:r>
        <w:rPr>
          <w:rFonts w:ascii="Tahoma" w:hAnsi="Tahoma" w:cs="Tahoma"/>
          <w:b/>
          <w:bCs/>
          <w:color w:val="000000"/>
          <w:sz w:val="22"/>
          <w:szCs w:val="22"/>
        </w:rPr>
        <w:t>.</w:t>
      </w:r>
    </w:p>
    <w:p w:rsidR="00B9049A" w:rsidRDefault="00B9049A" w:rsidP="00132E11">
      <w:pPr>
        <w:spacing w:line="360" w:lineRule="auto"/>
        <w:jc w:val="both"/>
        <w:rPr>
          <w:rFonts w:ascii="Tahoma" w:hAnsi="Tahoma" w:cs="Tahoma"/>
          <w:b/>
          <w:bCs/>
          <w:color w:val="0000FF"/>
          <w:sz w:val="22"/>
          <w:szCs w:val="22"/>
          <w:u w:val="single"/>
        </w:rPr>
      </w:pPr>
    </w:p>
    <w:p w:rsidR="00B9049A" w:rsidRPr="00B27964" w:rsidRDefault="00B9049A" w:rsidP="00132E11">
      <w:pPr>
        <w:spacing w:line="360" w:lineRule="auto"/>
        <w:jc w:val="both"/>
        <w:rPr>
          <w:rFonts w:ascii="Tahoma" w:hAnsi="Tahoma" w:cs="Tahoma"/>
          <w:color w:val="000000"/>
          <w:sz w:val="22"/>
          <w:szCs w:val="22"/>
        </w:rPr>
      </w:pPr>
      <w:r w:rsidRPr="00B27964">
        <w:rPr>
          <w:rFonts w:ascii="Tahoma" w:hAnsi="Tahoma" w:cs="Tahoma"/>
          <w:b/>
          <w:bCs/>
          <w:color w:val="000000"/>
          <w:sz w:val="22"/>
          <w:szCs w:val="22"/>
          <w:u w:val="single"/>
        </w:rPr>
        <w:t>2. Endeudamiento de las Administraciones Públicas</w:t>
      </w:r>
      <w:r w:rsidRPr="00B27964">
        <w:rPr>
          <w:rFonts w:ascii="Tahoma" w:hAnsi="Tahoma" w:cs="Tahoma"/>
          <w:b/>
          <w:bCs/>
          <w:color w:val="000000"/>
          <w:sz w:val="22"/>
          <w:szCs w:val="22"/>
        </w:rPr>
        <w:t>.</w:t>
      </w:r>
      <w:r w:rsidRPr="00B27964">
        <w:rPr>
          <w:rFonts w:ascii="Tahoma" w:hAnsi="Tahoma" w:cs="Tahoma"/>
          <w:color w:val="000000"/>
          <w:sz w:val="22"/>
          <w:szCs w:val="22"/>
        </w:rPr>
        <w:t xml:space="preserve"> </w:t>
      </w:r>
    </w:p>
    <w:p w:rsidR="00B9049A" w:rsidRDefault="00B9049A" w:rsidP="00132E11">
      <w:pPr>
        <w:autoSpaceDE w:val="0"/>
        <w:autoSpaceDN w:val="0"/>
        <w:adjustRightInd w:val="0"/>
        <w:spacing w:line="360" w:lineRule="auto"/>
        <w:jc w:val="both"/>
        <w:rPr>
          <w:rFonts w:ascii="Tahoma" w:hAnsi="Tahoma" w:cs="Tahoma"/>
          <w:b/>
          <w:bCs/>
          <w:sz w:val="22"/>
          <w:szCs w:val="22"/>
          <w:u w:val="single"/>
        </w:rPr>
      </w:pPr>
    </w:p>
    <w:p w:rsidR="00B9049A" w:rsidRPr="00FF7AB2" w:rsidRDefault="00B9049A" w:rsidP="00132E11">
      <w:pPr>
        <w:autoSpaceDE w:val="0"/>
        <w:autoSpaceDN w:val="0"/>
        <w:adjustRightInd w:val="0"/>
        <w:spacing w:line="360" w:lineRule="auto"/>
        <w:jc w:val="both"/>
        <w:rPr>
          <w:rFonts w:ascii="Tahoma" w:hAnsi="Tahoma" w:cs="Tahoma"/>
          <w:b/>
          <w:bCs/>
          <w:sz w:val="22"/>
          <w:szCs w:val="22"/>
          <w:u w:val="single"/>
        </w:rPr>
      </w:pPr>
      <w:r>
        <w:rPr>
          <w:rFonts w:ascii="Tahoma" w:hAnsi="Tahoma" w:cs="Tahoma"/>
          <w:b/>
          <w:bCs/>
          <w:sz w:val="22"/>
          <w:szCs w:val="22"/>
          <w:u w:val="single"/>
        </w:rPr>
        <w:t>2</w:t>
      </w:r>
      <w:r w:rsidRPr="00FF7AB2">
        <w:rPr>
          <w:rFonts w:ascii="Tahoma" w:hAnsi="Tahoma" w:cs="Tahoma"/>
          <w:b/>
          <w:bCs/>
          <w:sz w:val="22"/>
          <w:szCs w:val="22"/>
          <w:u w:val="single"/>
        </w:rPr>
        <w:t>.1. Evolución del endeudamiento de las Administraciones Públicas en España.</w:t>
      </w:r>
    </w:p>
    <w:p w:rsidR="00B9049A" w:rsidRDefault="00B9049A" w:rsidP="00132E11">
      <w:pPr>
        <w:autoSpaceDE w:val="0"/>
        <w:autoSpaceDN w:val="0"/>
        <w:adjustRightInd w:val="0"/>
        <w:spacing w:line="360" w:lineRule="auto"/>
        <w:jc w:val="both"/>
        <w:rPr>
          <w:rFonts w:ascii="Tahoma" w:hAnsi="Tahoma" w:cs="Tahoma"/>
          <w:sz w:val="22"/>
          <w:szCs w:val="22"/>
        </w:rPr>
      </w:pPr>
      <w:r w:rsidRPr="00161727">
        <w:rPr>
          <w:rFonts w:ascii="Tahoma" w:hAnsi="Tahoma" w:cs="Tahoma"/>
          <w:sz w:val="22"/>
          <w:szCs w:val="22"/>
        </w:rPr>
        <w:t xml:space="preserve">Desde que a mediados de 2008 se pusieran de manifiesto con claridad los </w:t>
      </w:r>
      <w:r>
        <w:rPr>
          <w:rFonts w:ascii="Tahoma" w:hAnsi="Tahoma" w:cs="Tahoma"/>
          <w:sz w:val="22"/>
          <w:szCs w:val="22"/>
        </w:rPr>
        <w:t xml:space="preserve">efectos </w:t>
      </w:r>
      <w:r w:rsidRPr="00161727">
        <w:rPr>
          <w:rFonts w:ascii="Tahoma" w:hAnsi="Tahoma" w:cs="Tahoma"/>
          <w:sz w:val="22"/>
          <w:szCs w:val="22"/>
        </w:rPr>
        <w:t>de la crisis económica internacional, la situación financiera de las diferentes</w:t>
      </w:r>
      <w:r>
        <w:rPr>
          <w:rFonts w:ascii="Tahoma" w:hAnsi="Tahoma" w:cs="Tahoma"/>
          <w:sz w:val="22"/>
          <w:szCs w:val="22"/>
        </w:rPr>
        <w:t xml:space="preserve"> </w:t>
      </w:r>
      <w:r w:rsidRPr="00161727">
        <w:rPr>
          <w:rFonts w:ascii="Tahoma" w:hAnsi="Tahoma" w:cs="Tahoma"/>
          <w:sz w:val="22"/>
          <w:szCs w:val="22"/>
        </w:rPr>
        <w:t>administraciones sufri</w:t>
      </w:r>
      <w:r>
        <w:rPr>
          <w:rFonts w:ascii="Tahoma" w:hAnsi="Tahoma" w:cs="Tahoma"/>
          <w:sz w:val="22"/>
          <w:szCs w:val="22"/>
        </w:rPr>
        <w:t>ó</w:t>
      </w:r>
      <w:r w:rsidRPr="00161727">
        <w:rPr>
          <w:rFonts w:ascii="Tahoma" w:hAnsi="Tahoma" w:cs="Tahoma"/>
          <w:sz w:val="22"/>
          <w:szCs w:val="22"/>
        </w:rPr>
        <w:t xml:space="preserve"> un deterioro notable.</w:t>
      </w:r>
      <w:r>
        <w:rPr>
          <w:rFonts w:ascii="Tahoma" w:hAnsi="Tahoma" w:cs="Tahoma"/>
          <w:sz w:val="22"/>
          <w:szCs w:val="22"/>
        </w:rPr>
        <w:t xml:space="preserve"> </w:t>
      </w:r>
      <w:r w:rsidRPr="00161727">
        <w:rPr>
          <w:rFonts w:ascii="Tahoma" w:hAnsi="Tahoma" w:cs="Tahoma"/>
          <w:sz w:val="22"/>
          <w:szCs w:val="22"/>
        </w:rPr>
        <w:t>De un lado, la necesidad de poner en marcha diferentes políticas sociales</w:t>
      </w:r>
      <w:r>
        <w:rPr>
          <w:rFonts w:ascii="Tahoma" w:hAnsi="Tahoma" w:cs="Tahoma"/>
          <w:sz w:val="22"/>
          <w:szCs w:val="22"/>
        </w:rPr>
        <w:t xml:space="preserve"> </w:t>
      </w:r>
      <w:r w:rsidRPr="00161727">
        <w:rPr>
          <w:rFonts w:ascii="Tahoma" w:hAnsi="Tahoma" w:cs="Tahoma"/>
          <w:sz w:val="22"/>
          <w:szCs w:val="22"/>
        </w:rPr>
        <w:t>destinadas a paliar los efectos de la crisis, supu</w:t>
      </w:r>
      <w:r>
        <w:rPr>
          <w:rFonts w:ascii="Tahoma" w:hAnsi="Tahoma" w:cs="Tahoma"/>
          <w:sz w:val="22"/>
          <w:szCs w:val="22"/>
        </w:rPr>
        <w:t>so</w:t>
      </w:r>
      <w:r w:rsidRPr="00161727">
        <w:rPr>
          <w:rFonts w:ascii="Tahoma" w:hAnsi="Tahoma" w:cs="Tahoma"/>
          <w:sz w:val="22"/>
          <w:szCs w:val="22"/>
        </w:rPr>
        <w:t xml:space="preserve"> un </w:t>
      </w:r>
      <w:r>
        <w:rPr>
          <w:rFonts w:ascii="Tahoma" w:hAnsi="Tahoma" w:cs="Tahoma"/>
          <w:sz w:val="22"/>
          <w:szCs w:val="22"/>
        </w:rPr>
        <w:t>importante</w:t>
      </w:r>
      <w:r w:rsidRPr="00161727">
        <w:rPr>
          <w:rFonts w:ascii="Tahoma" w:hAnsi="Tahoma" w:cs="Tahoma"/>
          <w:sz w:val="22"/>
          <w:szCs w:val="22"/>
        </w:rPr>
        <w:t xml:space="preserve"> aumento de</w:t>
      </w:r>
      <w:r>
        <w:rPr>
          <w:rFonts w:ascii="Tahoma" w:hAnsi="Tahoma" w:cs="Tahoma"/>
          <w:sz w:val="22"/>
          <w:szCs w:val="22"/>
        </w:rPr>
        <w:t xml:space="preserve"> </w:t>
      </w:r>
      <w:r w:rsidRPr="00161727">
        <w:rPr>
          <w:rFonts w:ascii="Tahoma" w:hAnsi="Tahoma" w:cs="Tahoma"/>
          <w:sz w:val="22"/>
          <w:szCs w:val="22"/>
        </w:rPr>
        <w:t>estos gastos que no siempre p</w:t>
      </w:r>
      <w:r>
        <w:rPr>
          <w:rFonts w:ascii="Tahoma" w:hAnsi="Tahoma" w:cs="Tahoma"/>
          <w:sz w:val="22"/>
          <w:szCs w:val="22"/>
        </w:rPr>
        <w:t>udo</w:t>
      </w:r>
      <w:r w:rsidRPr="00161727">
        <w:rPr>
          <w:rFonts w:ascii="Tahoma" w:hAnsi="Tahoma" w:cs="Tahoma"/>
          <w:sz w:val="22"/>
          <w:szCs w:val="22"/>
        </w:rPr>
        <w:t xml:space="preserve"> ser </w:t>
      </w:r>
      <w:r>
        <w:rPr>
          <w:rFonts w:ascii="Tahoma" w:hAnsi="Tahoma" w:cs="Tahoma"/>
          <w:sz w:val="22"/>
          <w:szCs w:val="22"/>
        </w:rPr>
        <w:t>compensado</w:t>
      </w:r>
      <w:r w:rsidRPr="00161727">
        <w:rPr>
          <w:rFonts w:ascii="Tahoma" w:hAnsi="Tahoma" w:cs="Tahoma"/>
          <w:sz w:val="22"/>
          <w:szCs w:val="22"/>
        </w:rPr>
        <w:t xml:space="preserve"> con reducciones de igual cuantía</w:t>
      </w:r>
      <w:r>
        <w:rPr>
          <w:rFonts w:ascii="Tahoma" w:hAnsi="Tahoma" w:cs="Tahoma"/>
          <w:sz w:val="22"/>
          <w:szCs w:val="22"/>
        </w:rPr>
        <w:t xml:space="preserve"> </w:t>
      </w:r>
      <w:r w:rsidRPr="00161727">
        <w:rPr>
          <w:rFonts w:ascii="Tahoma" w:hAnsi="Tahoma" w:cs="Tahoma"/>
          <w:sz w:val="22"/>
          <w:szCs w:val="22"/>
        </w:rPr>
        <w:t xml:space="preserve">en otros de distinta </w:t>
      </w:r>
      <w:r>
        <w:rPr>
          <w:rFonts w:ascii="Tahoma" w:hAnsi="Tahoma" w:cs="Tahoma"/>
          <w:sz w:val="22"/>
          <w:szCs w:val="22"/>
        </w:rPr>
        <w:t>finalidad</w:t>
      </w:r>
      <w:r w:rsidRPr="00161727">
        <w:rPr>
          <w:rFonts w:ascii="Tahoma" w:hAnsi="Tahoma" w:cs="Tahoma"/>
          <w:sz w:val="22"/>
          <w:szCs w:val="22"/>
        </w:rPr>
        <w:t>.</w:t>
      </w:r>
      <w:r>
        <w:rPr>
          <w:rFonts w:ascii="Tahoma" w:hAnsi="Tahoma" w:cs="Tahoma"/>
          <w:sz w:val="22"/>
          <w:szCs w:val="22"/>
        </w:rPr>
        <w:t xml:space="preserve"> </w:t>
      </w:r>
      <w:r w:rsidRPr="00161727">
        <w:rPr>
          <w:rFonts w:ascii="Tahoma" w:hAnsi="Tahoma" w:cs="Tahoma"/>
          <w:sz w:val="22"/>
          <w:szCs w:val="22"/>
        </w:rPr>
        <w:t xml:space="preserve">De otro, la fuerte caída de la actividad </w:t>
      </w:r>
      <w:r w:rsidRPr="00386D98">
        <w:rPr>
          <w:rFonts w:ascii="Tahoma" w:hAnsi="Tahoma" w:cs="Tahoma"/>
          <w:sz w:val="22"/>
          <w:szCs w:val="22"/>
        </w:rPr>
        <w:t xml:space="preserve">económica y el consiguiente incremento del desempleo, </w:t>
      </w:r>
      <w:r>
        <w:rPr>
          <w:rFonts w:ascii="Tahoma" w:hAnsi="Tahoma" w:cs="Tahoma"/>
          <w:sz w:val="22"/>
          <w:szCs w:val="22"/>
        </w:rPr>
        <w:t>provocaron</w:t>
      </w:r>
      <w:r w:rsidRPr="00386D98">
        <w:rPr>
          <w:rFonts w:ascii="Tahoma" w:hAnsi="Tahoma" w:cs="Tahoma"/>
          <w:sz w:val="22"/>
          <w:szCs w:val="22"/>
        </w:rPr>
        <w:t xml:space="preserve"> una significativa reducción de los ingresos públicos</w:t>
      </w:r>
      <w:r>
        <w:rPr>
          <w:rFonts w:ascii="Tahoma" w:hAnsi="Tahoma" w:cs="Tahoma"/>
          <w:sz w:val="22"/>
          <w:szCs w:val="22"/>
        </w:rPr>
        <w:t>.</w:t>
      </w:r>
    </w:p>
    <w:p w:rsidR="00B9049A" w:rsidRDefault="00B9049A" w:rsidP="00132E11">
      <w:pPr>
        <w:autoSpaceDE w:val="0"/>
        <w:autoSpaceDN w:val="0"/>
        <w:adjustRightInd w:val="0"/>
        <w:spacing w:line="360" w:lineRule="auto"/>
        <w:jc w:val="both"/>
        <w:rPr>
          <w:rFonts w:ascii="Tahoma" w:hAnsi="Tahoma" w:cs="Tahoma"/>
          <w:sz w:val="22"/>
          <w:szCs w:val="22"/>
        </w:rPr>
      </w:pPr>
    </w:p>
    <w:p w:rsidR="00B9049A" w:rsidRDefault="00B9049A" w:rsidP="00132E11">
      <w:pPr>
        <w:autoSpaceDE w:val="0"/>
        <w:autoSpaceDN w:val="0"/>
        <w:adjustRightInd w:val="0"/>
        <w:spacing w:line="360" w:lineRule="auto"/>
        <w:jc w:val="both"/>
        <w:rPr>
          <w:rFonts w:ascii="Tahoma" w:hAnsi="Tahoma" w:cs="Tahoma"/>
          <w:sz w:val="22"/>
          <w:szCs w:val="22"/>
        </w:rPr>
      </w:pPr>
    </w:p>
    <w:p w:rsidR="00B9049A" w:rsidRDefault="00B9049A" w:rsidP="00132E11">
      <w:pPr>
        <w:autoSpaceDE w:val="0"/>
        <w:autoSpaceDN w:val="0"/>
        <w:adjustRightInd w:val="0"/>
        <w:spacing w:line="360" w:lineRule="auto"/>
        <w:jc w:val="both"/>
        <w:rPr>
          <w:rFonts w:ascii="Tahoma" w:hAnsi="Tahoma" w:cs="Tahoma"/>
          <w:sz w:val="22"/>
          <w:szCs w:val="22"/>
        </w:rPr>
      </w:pPr>
      <w:r>
        <w:rPr>
          <w:rFonts w:ascii="Tahoma" w:hAnsi="Tahoma" w:cs="Tahoma"/>
          <w:sz w:val="22"/>
          <w:szCs w:val="22"/>
        </w:rPr>
        <w:t>En estos años, l</w:t>
      </w:r>
      <w:r w:rsidRPr="00161727">
        <w:rPr>
          <w:rFonts w:ascii="Tahoma" w:hAnsi="Tahoma" w:cs="Tahoma"/>
          <w:sz w:val="22"/>
          <w:szCs w:val="22"/>
        </w:rPr>
        <w:t xml:space="preserve">a combinación de </w:t>
      </w:r>
      <w:r w:rsidRPr="00BF60AC">
        <w:rPr>
          <w:rFonts w:ascii="Tahoma" w:hAnsi="Tahoma" w:cs="Tahoma"/>
          <w:color w:val="000000"/>
          <w:sz w:val="22"/>
          <w:szCs w:val="22"/>
        </w:rPr>
        <w:t xml:space="preserve">ambas </w:t>
      </w:r>
      <w:r w:rsidRPr="00AD0D35">
        <w:rPr>
          <w:rFonts w:ascii="Tahoma" w:hAnsi="Tahoma" w:cs="Tahoma"/>
          <w:color w:val="000000"/>
          <w:sz w:val="22"/>
          <w:szCs w:val="22"/>
        </w:rPr>
        <w:t>tendencias, aumento de gastos y disminución de ingresos, ha ido da</w:t>
      </w:r>
      <w:r>
        <w:rPr>
          <w:rFonts w:ascii="Tahoma" w:hAnsi="Tahoma" w:cs="Tahoma"/>
          <w:sz w:val="22"/>
          <w:szCs w:val="22"/>
        </w:rPr>
        <w:t>n</w:t>
      </w:r>
      <w:r w:rsidRPr="00161727">
        <w:rPr>
          <w:rFonts w:ascii="Tahoma" w:hAnsi="Tahoma" w:cs="Tahoma"/>
          <w:sz w:val="22"/>
          <w:szCs w:val="22"/>
        </w:rPr>
        <w:t>do lugar a un importante déficit público</w:t>
      </w:r>
      <w:r>
        <w:rPr>
          <w:rFonts w:ascii="Tahoma" w:hAnsi="Tahoma" w:cs="Tahoma"/>
          <w:sz w:val="22"/>
          <w:szCs w:val="22"/>
        </w:rPr>
        <w:t xml:space="preserve"> </w:t>
      </w:r>
      <w:r w:rsidRPr="00161727">
        <w:rPr>
          <w:rFonts w:ascii="Tahoma" w:hAnsi="Tahoma" w:cs="Tahoma"/>
          <w:sz w:val="22"/>
          <w:szCs w:val="22"/>
        </w:rPr>
        <w:t>y a un incremento de la deuda pública en nuestro país</w:t>
      </w:r>
      <w:r>
        <w:rPr>
          <w:rFonts w:ascii="Tahoma" w:hAnsi="Tahoma" w:cs="Tahoma"/>
          <w:sz w:val="22"/>
          <w:szCs w:val="22"/>
        </w:rPr>
        <w:t xml:space="preserve">. </w:t>
      </w:r>
    </w:p>
    <w:p w:rsidR="00B9049A" w:rsidRDefault="00B9049A" w:rsidP="00132E11">
      <w:pPr>
        <w:autoSpaceDE w:val="0"/>
        <w:autoSpaceDN w:val="0"/>
        <w:adjustRightInd w:val="0"/>
        <w:spacing w:line="360" w:lineRule="auto"/>
        <w:jc w:val="both"/>
        <w:rPr>
          <w:rFonts w:ascii="Tahoma" w:hAnsi="Tahoma" w:cs="Tahoma"/>
          <w:sz w:val="22"/>
          <w:szCs w:val="22"/>
        </w:rPr>
      </w:pPr>
    </w:p>
    <w:p w:rsidR="00B9049A" w:rsidRPr="00BF60AC" w:rsidRDefault="00B9049A" w:rsidP="00132E11">
      <w:pPr>
        <w:autoSpaceDE w:val="0"/>
        <w:autoSpaceDN w:val="0"/>
        <w:adjustRightInd w:val="0"/>
        <w:spacing w:line="360" w:lineRule="auto"/>
        <w:jc w:val="both"/>
        <w:rPr>
          <w:rFonts w:ascii="Tahoma" w:hAnsi="Tahoma" w:cs="Tahoma"/>
          <w:color w:val="000000"/>
          <w:sz w:val="22"/>
          <w:szCs w:val="22"/>
        </w:rPr>
      </w:pPr>
      <w:r w:rsidRPr="00BF60AC">
        <w:rPr>
          <w:rFonts w:ascii="Tahoma" w:hAnsi="Tahoma" w:cs="Tahoma"/>
          <w:color w:val="000000"/>
          <w:sz w:val="22"/>
          <w:szCs w:val="22"/>
        </w:rPr>
        <w:t xml:space="preserve">No obstante, aunque el déficit público se ha reducido con la entrada en vigor de </w:t>
      </w:r>
      <w:smartTag w:uri="urn:schemas-microsoft-com:office:smarttags" w:element="PersonName">
        <w:smartTagPr>
          <w:attr w:name="ProductID" w:val="la Ley Orgánica"/>
        </w:smartTagPr>
        <w:r w:rsidRPr="00BF60AC">
          <w:rPr>
            <w:rFonts w:ascii="Tahoma" w:hAnsi="Tahoma" w:cs="Tahoma"/>
            <w:color w:val="000000"/>
            <w:sz w:val="22"/>
            <w:szCs w:val="22"/>
          </w:rPr>
          <w:t>la Ley Orgánica</w:t>
        </w:r>
      </w:smartTag>
      <w:r w:rsidRPr="00BF60AC">
        <w:rPr>
          <w:rFonts w:ascii="Tahoma" w:hAnsi="Tahoma" w:cs="Tahoma"/>
          <w:color w:val="000000"/>
          <w:sz w:val="22"/>
          <w:szCs w:val="22"/>
        </w:rPr>
        <w:t xml:space="preserve"> 2/2012, de Estabilidad Presupuestaria y Sostenibilidad Financiera (LOEPSF) y las medidas de ajuste que han aplicado las administraciones públicas, aún no se cumple con los objetivos marcados por </w:t>
      </w:r>
      <w:smartTag w:uri="urn:schemas-microsoft-com:office:smarttags" w:element="PersonName">
        <w:smartTagPr>
          <w:attr w:name="ProductID" w:val="la Unión Europea"/>
        </w:smartTagPr>
        <w:r w:rsidRPr="00BF60AC">
          <w:rPr>
            <w:rFonts w:ascii="Tahoma" w:hAnsi="Tahoma" w:cs="Tahoma"/>
            <w:color w:val="000000"/>
            <w:sz w:val="22"/>
            <w:szCs w:val="22"/>
          </w:rPr>
          <w:t>la Unión Europea</w:t>
        </w:r>
      </w:smartTag>
      <w:r w:rsidRPr="00BF60AC">
        <w:rPr>
          <w:rFonts w:ascii="Tahoma" w:hAnsi="Tahoma" w:cs="Tahoma"/>
          <w:color w:val="000000"/>
          <w:sz w:val="22"/>
          <w:szCs w:val="22"/>
        </w:rPr>
        <w:t>, lo que ha supuesto la concesión de prórrogas a España para alcanzar los mismos.</w:t>
      </w:r>
    </w:p>
    <w:p w:rsidR="00B9049A" w:rsidRDefault="00B9049A" w:rsidP="00A40F0A">
      <w:pPr>
        <w:autoSpaceDE w:val="0"/>
        <w:autoSpaceDN w:val="0"/>
        <w:adjustRightInd w:val="0"/>
        <w:spacing w:line="360" w:lineRule="auto"/>
        <w:jc w:val="both"/>
        <w:rPr>
          <w:rFonts w:ascii="Tahoma" w:hAnsi="Tahoma" w:cs="Tahoma"/>
          <w:color w:val="000000"/>
          <w:sz w:val="22"/>
          <w:szCs w:val="22"/>
        </w:rPr>
      </w:pPr>
    </w:p>
    <w:p w:rsidR="00B9049A" w:rsidRDefault="00B9049A" w:rsidP="00A40F0A">
      <w:pPr>
        <w:autoSpaceDE w:val="0"/>
        <w:autoSpaceDN w:val="0"/>
        <w:adjustRightInd w:val="0"/>
        <w:spacing w:line="360" w:lineRule="auto"/>
        <w:jc w:val="both"/>
        <w:rPr>
          <w:rFonts w:ascii="Tahoma" w:hAnsi="Tahoma" w:cs="Tahoma"/>
          <w:color w:val="000000"/>
          <w:sz w:val="22"/>
          <w:szCs w:val="22"/>
        </w:rPr>
      </w:pPr>
      <w:r>
        <w:rPr>
          <w:rFonts w:ascii="Tahoma" w:hAnsi="Tahoma" w:cs="Tahoma"/>
          <w:color w:val="000000"/>
          <w:sz w:val="22"/>
          <w:szCs w:val="22"/>
        </w:rPr>
        <w:t xml:space="preserve">Con fecha </w:t>
      </w:r>
      <w:smartTag w:uri="urn:schemas-microsoft-com:office:smarttags" w:element="date">
        <w:smartTagPr>
          <w:attr w:name="Year" w:val="2015"/>
          <w:attr w:name="Day" w:val="15"/>
          <w:attr w:name="Month" w:val="7"/>
          <w:attr w:name="ls" w:val="trans"/>
        </w:smartTagPr>
        <w:r>
          <w:rPr>
            <w:rFonts w:ascii="Tahoma" w:hAnsi="Tahoma" w:cs="Tahoma"/>
            <w:color w:val="000000"/>
            <w:sz w:val="22"/>
            <w:szCs w:val="22"/>
          </w:rPr>
          <w:t>15 de julio de 2015</w:t>
        </w:r>
      </w:smartTag>
      <w:r>
        <w:rPr>
          <w:rFonts w:ascii="Tahoma" w:hAnsi="Tahoma" w:cs="Tahoma"/>
          <w:color w:val="000000"/>
          <w:sz w:val="22"/>
          <w:szCs w:val="22"/>
        </w:rPr>
        <w:t xml:space="preserve"> se publicaron en el Boletín Oficial de las Cortes Generales los objetivos de estabilidad presupuestaria para el período 2016 – 2018, estos objetivos eran coherentes con la senda de consolidación fiscal fijados por el Consejo de </w:t>
      </w:r>
      <w:smartTag w:uri="urn:schemas-microsoft-com:office:smarttags" w:element="PersonName">
        <w:smartTagPr>
          <w:attr w:name="ProductID" w:val="la Unión Europea"/>
        </w:smartTagPr>
        <w:r>
          <w:rPr>
            <w:rFonts w:ascii="Tahoma" w:hAnsi="Tahoma" w:cs="Tahoma"/>
            <w:color w:val="000000"/>
            <w:sz w:val="22"/>
            <w:szCs w:val="22"/>
          </w:rPr>
          <w:t>la Unión Europea</w:t>
        </w:r>
      </w:smartTag>
      <w:r>
        <w:rPr>
          <w:rFonts w:ascii="Tahoma" w:hAnsi="Tahoma" w:cs="Tahoma"/>
          <w:color w:val="000000"/>
          <w:sz w:val="22"/>
          <w:szCs w:val="22"/>
        </w:rPr>
        <w:t xml:space="preserve"> en 2013. Posteriormente, el Consejo de </w:t>
      </w:r>
      <w:smartTag w:uri="urn:schemas-microsoft-com:office:smarttags" w:element="PersonName">
        <w:smartTagPr>
          <w:attr w:name="ProductID" w:val="la Unión Europea"/>
        </w:smartTagPr>
        <w:r>
          <w:rPr>
            <w:rFonts w:ascii="Tahoma" w:hAnsi="Tahoma" w:cs="Tahoma"/>
            <w:color w:val="000000"/>
            <w:sz w:val="22"/>
            <w:szCs w:val="22"/>
          </w:rPr>
          <w:t>la Unión Europea</w:t>
        </w:r>
      </w:smartTag>
      <w:r>
        <w:rPr>
          <w:rFonts w:ascii="Tahoma" w:hAnsi="Tahoma" w:cs="Tahoma"/>
          <w:color w:val="000000"/>
          <w:sz w:val="22"/>
          <w:szCs w:val="22"/>
        </w:rPr>
        <w:t xml:space="preserve"> el día </w:t>
      </w:r>
      <w:smartTag w:uri="urn:schemas-microsoft-com:office:smarttags" w:element="date">
        <w:smartTagPr>
          <w:attr w:name="Year" w:val="2016"/>
          <w:attr w:name="Day" w:val="2"/>
          <w:attr w:name="Month" w:val="8"/>
          <w:attr w:name="ls" w:val="trans"/>
        </w:smartTagPr>
        <w:r>
          <w:rPr>
            <w:rFonts w:ascii="Tahoma" w:hAnsi="Tahoma" w:cs="Tahoma"/>
            <w:color w:val="000000"/>
            <w:sz w:val="22"/>
            <w:szCs w:val="22"/>
          </w:rPr>
          <w:t>2 de agosto de 2016</w:t>
        </w:r>
      </w:smartTag>
      <w:r>
        <w:rPr>
          <w:rFonts w:ascii="Tahoma" w:hAnsi="Tahoma" w:cs="Tahoma"/>
          <w:color w:val="000000"/>
          <w:sz w:val="22"/>
          <w:szCs w:val="22"/>
        </w:rPr>
        <w:t xml:space="preserve"> revisó la senda de l</w:t>
      </w:r>
      <w:r w:rsidRPr="00FD77CD">
        <w:rPr>
          <w:rFonts w:ascii="Tahoma" w:hAnsi="Tahoma" w:cs="Tahoma"/>
          <w:color w:val="000000"/>
          <w:sz w:val="22"/>
          <w:szCs w:val="22"/>
        </w:rPr>
        <w:t xml:space="preserve">os objetivos </w:t>
      </w:r>
      <w:r>
        <w:rPr>
          <w:rFonts w:ascii="Tahoma" w:hAnsi="Tahoma" w:cs="Tahoma"/>
          <w:color w:val="000000"/>
          <w:sz w:val="22"/>
          <w:szCs w:val="22"/>
        </w:rPr>
        <w:t xml:space="preserve">de déficit </w:t>
      </w:r>
      <w:r w:rsidRPr="00FD77CD">
        <w:rPr>
          <w:rFonts w:ascii="Tahoma" w:hAnsi="Tahoma" w:cs="Tahoma"/>
          <w:color w:val="000000"/>
          <w:sz w:val="22"/>
          <w:szCs w:val="22"/>
        </w:rPr>
        <w:t xml:space="preserve">para </w:t>
      </w:r>
      <w:r>
        <w:rPr>
          <w:rFonts w:ascii="Tahoma" w:hAnsi="Tahoma" w:cs="Tahoma"/>
          <w:color w:val="000000"/>
          <w:sz w:val="22"/>
          <w:szCs w:val="22"/>
        </w:rPr>
        <w:t xml:space="preserve">los años </w:t>
      </w:r>
      <w:r w:rsidRPr="00FD77CD">
        <w:rPr>
          <w:rFonts w:ascii="Tahoma" w:hAnsi="Tahoma" w:cs="Tahoma"/>
          <w:color w:val="000000"/>
          <w:sz w:val="22"/>
          <w:szCs w:val="22"/>
        </w:rPr>
        <w:t>2016</w:t>
      </w:r>
      <w:r>
        <w:rPr>
          <w:rFonts w:ascii="Tahoma" w:hAnsi="Tahoma" w:cs="Tahoma"/>
          <w:color w:val="000000"/>
          <w:sz w:val="22"/>
          <w:szCs w:val="22"/>
        </w:rPr>
        <w:t>,</w:t>
      </w:r>
      <w:r w:rsidRPr="00FD77CD">
        <w:rPr>
          <w:rFonts w:ascii="Tahoma" w:hAnsi="Tahoma" w:cs="Tahoma"/>
          <w:color w:val="000000"/>
          <w:sz w:val="22"/>
          <w:szCs w:val="22"/>
        </w:rPr>
        <w:t xml:space="preserve"> 2017</w:t>
      </w:r>
      <w:r>
        <w:rPr>
          <w:rFonts w:ascii="Tahoma" w:hAnsi="Tahoma" w:cs="Tahoma"/>
          <w:color w:val="000000"/>
          <w:sz w:val="22"/>
          <w:szCs w:val="22"/>
        </w:rPr>
        <w:t xml:space="preserve"> y 2018 fijándolos</w:t>
      </w:r>
      <w:r w:rsidRPr="00FD77CD">
        <w:rPr>
          <w:rFonts w:ascii="Tahoma" w:hAnsi="Tahoma" w:cs="Tahoma"/>
          <w:color w:val="000000"/>
          <w:sz w:val="22"/>
          <w:szCs w:val="22"/>
        </w:rPr>
        <w:t xml:space="preserve"> </w:t>
      </w:r>
      <w:r>
        <w:rPr>
          <w:rFonts w:ascii="Tahoma" w:hAnsi="Tahoma" w:cs="Tahoma"/>
          <w:color w:val="000000"/>
          <w:sz w:val="22"/>
          <w:szCs w:val="22"/>
        </w:rPr>
        <w:t xml:space="preserve">en </w:t>
      </w:r>
      <w:r w:rsidRPr="00FD77CD">
        <w:rPr>
          <w:rFonts w:ascii="Tahoma" w:hAnsi="Tahoma" w:cs="Tahoma"/>
          <w:color w:val="000000"/>
          <w:sz w:val="22"/>
          <w:szCs w:val="22"/>
        </w:rPr>
        <w:t xml:space="preserve">el </w:t>
      </w:r>
      <w:r>
        <w:rPr>
          <w:rFonts w:ascii="Tahoma" w:hAnsi="Tahoma" w:cs="Tahoma"/>
          <w:color w:val="000000"/>
          <w:sz w:val="22"/>
          <w:szCs w:val="22"/>
        </w:rPr>
        <w:t>4</w:t>
      </w:r>
      <w:r w:rsidRPr="00FD77CD">
        <w:rPr>
          <w:rFonts w:ascii="Tahoma" w:hAnsi="Tahoma" w:cs="Tahoma"/>
          <w:color w:val="000000"/>
          <w:sz w:val="22"/>
          <w:szCs w:val="22"/>
        </w:rPr>
        <w:t>,6%</w:t>
      </w:r>
      <w:r>
        <w:rPr>
          <w:rFonts w:ascii="Tahoma" w:hAnsi="Tahoma" w:cs="Tahoma"/>
          <w:color w:val="000000"/>
          <w:sz w:val="22"/>
          <w:szCs w:val="22"/>
        </w:rPr>
        <w:t>, 3,1%</w:t>
      </w:r>
      <w:r w:rsidRPr="00FD77CD">
        <w:rPr>
          <w:rFonts w:ascii="Tahoma" w:hAnsi="Tahoma" w:cs="Tahoma"/>
          <w:color w:val="000000"/>
          <w:sz w:val="22"/>
          <w:szCs w:val="22"/>
        </w:rPr>
        <w:t xml:space="preserve"> y 2,</w:t>
      </w:r>
      <w:r>
        <w:rPr>
          <w:rFonts w:ascii="Tahoma" w:hAnsi="Tahoma" w:cs="Tahoma"/>
          <w:color w:val="000000"/>
          <w:sz w:val="22"/>
          <w:szCs w:val="22"/>
        </w:rPr>
        <w:t>2</w:t>
      </w:r>
      <w:r w:rsidRPr="00FD77CD">
        <w:rPr>
          <w:rFonts w:ascii="Tahoma" w:hAnsi="Tahoma" w:cs="Tahoma"/>
          <w:color w:val="000000"/>
          <w:sz w:val="22"/>
          <w:szCs w:val="22"/>
        </w:rPr>
        <w:t>%</w:t>
      </w:r>
      <w:r>
        <w:rPr>
          <w:rFonts w:ascii="Tahoma" w:hAnsi="Tahoma" w:cs="Tahoma"/>
          <w:color w:val="000000"/>
          <w:sz w:val="22"/>
          <w:szCs w:val="22"/>
        </w:rPr>
        <w:t xml:space="preserve"> del PIB respectivamente. </w:t>
      </w:r>
    </w:p>
    <w:p w:rsidR="00B9049A" w:rsidRDefault="00B9049A" w:rsidP="00132E11">
      <w:pPr>
        <w:autoSpaceDE w:val="0"/>
        <w:autoSpaceDN w:val="0"/>
        <w:adjustRightInd w:val="0"/>
        <w:spacing w:line="360" w:lineRule="auto"/>
        <w:jc w:val="both"/>
        <w:rPr>
          <w:rFonts w:ascii="Tahoma" w:hAnsi="Tahoma" w:cs="Tahoma"/>
          <w:sz w:val="22"/>
          <w:szCs w:val="22"/>
        </w:rPr>
      </w:pPr>
    </w:p>
    <w:p w:rsidR="00B9049A" w:rsidRDefault="00B9049A" w:rsidP="00132E11">
      <w:pPr>
        <w:autoSpaceDE w:val="0"/>
        <w:autoSpaceDN w:val="0"/>
        <w:adjustRightInd w:val="0"/>
        <w:spacing w:line="360" w:lineRule="auto"/>
        <w:jc w:val="both"/>
        <w:rPr>
          <w:rFonts w:ascii="Tahoma" w:hAnsi="Tahoma" w:cs="Tahoma"/>
          <w:sz w:val="22"/>
          <w:szCs w:val="22"/>
        </w:rPr>
      </w:pPr>
      <w:r>
        <w:rPr>
          <w:rFonts w:ascii="Tahoma" w:hAnsi="Tahoma" w:cs="Tahoma"/>
          <w:sz w:val="22"/>
          <w:szCs w:val="22"/>
        </w:rPr>
        <w:t>La evolución del déficit público de España para el período 2009 - 2016, en términos de PIB, se muestra en la siguiente tabla:</w:t>
      </w:r>
    </w:p>
    <w:p w:rsidR="00B9049A" w:rsidRDefault="00B9049A" w:rsidP="00132E11">
      <w:pPr>
        <w:autoSpaceDE w:val="0"/>
        <w:autoSpaceDN w:val="0"/>
        <w:adjustRightInd w:val="0"/>
        <w:spacing w:line="360" w:lineRule="auto"/>
        <w:jc w:val="both"/>
        <w:rPr>
          <w:rFonts w:ascii="Tahoma" w:hAnsi="Tahoma" w:cs="Tahoma"/>
          <w:sz w:val="22"/>
          <w:szCs w:val="22"/>
        </w:rPr>
      </w:pPr>
    </w:p>
    <w:p w:rsidR="00B9049A" w:rsidRPr="004D6465" w:rsidRDefault="0026194C" w:rsidP="00132E11">
      <w:pPr>
        <w:autoSpaceDE w:val="0"/>
        <w:autoSpaceDN w:val="0"/>
        <w:adjustRightInd w:val="0"/>
        <w:spacing w:line="360" w:lineRule="auto"/>
        <w:jc w:val="both"/>
        <w:rPr>
          <w:rFonts w:ascii="Tahoma" w:hAnsi="Tahoma" w:cs="Tahoma"/>
          <w:sz w:val="22"/>
          <w:szCs w:val="22"/>
        </w:rPr>
      </w:pPr>
      <w:r>
        <w:rPr>
          <w:noProof/>
        </w:rPr>
        <w:drawing>
          <wp:inline distT="0" distB="0" distL="0" distR="0">
            <wp:extent cx="6057900" cy="10795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57900" cy="1079500"/>
                    </a:xfrm>
                    <a:prstGeom prst="rect">
                      <a:avLst/>
                    </a:prstGeom>
                    <a:noFill/>
                    <a:ln w="9525">
                      <a:noFill/>
                      <a:miter lim="800000"/>
                      <a:headEnd/>
                      <a:tailEnd/>
                    </a:ln>
                  </pic:spPr>
                </pic:pic>
              </a:graphicData>
            </a:graphic>
          </wp:inline>
        </w:drawing>
      </w:r>
    </w:p>
    <w:p w:rsidR="00B9049A" w:rsidRDefault="00B9049A" w:rsidP="00132E11">
      <w:pPr>
        <w:autoSpaceDE w:val="0"/>
        <w:autoSpaceDN w:val="0"/>
        <w:adjustRightInd w:val="0"/>
        <w:spacing w:line="360" w:lineRule="auto"/>
        <w:jc w:val="both"/>
        <w:rPr>
          <w:rFonts w:ascii="Tahoma" w:hAnsi="Tahoma" w:cs="Tahoma"/>
          <w:color w:val="FF0000"/>
          <w:sz w:val="22"/>
          <w:szCs w:val="22"/>
        </w:rPr>
      </w:pPr>
    </w:p>
    <w:p w:rsidR="00B9049A" w:rsidRPr="00EA5FFE" w:rsidRDefault="00B9049A" w:rsidP="00EA5FFE">
      <w:pPr>
        <w:spacing w:line="360" w:lineRule="auto"/>
        <w:jc w:val="both"/>
        <w:rPr>
          <w:rFonts w:ascii="Tahoma" w:hAnsi="Tahoma" w:cs="Tahoma"/>
          <w:color w:val="000000"/>
          <w:sz w:val="22"/>
          <w:szCs w:val="22"/>
        </w:rPr>
      </w:pPr>
      <w:r>
        <w:rPr>
          <w:rFonts w:ascii="Tahoma" w:hAnsi="Tahoma" w:cs="Tahoma"/>
          <w:color w:val="000000"/>
          <w:sz w:val="22"/>
          <w:szCs w:val="22"/>
        </w:rPr>
        <w:t>En 2017</w:t>
      </w:r>
      <w:r w:rsidRPr="00EA5FFE">
        <w:rPr>
          <w:rFonts w:ascii="Tahoma" w:hAnsi="Tahoma" w:cs="Tahoma"/>
          <w:color w:val="000000"/>
          <w:sz w:val="22"/>
          <w:szCs w:val="22"/>
        </w:rPr>
        <w:t xml:space="preserve"> </w:t>
      </w:r>
      <w:smartTag w:uri="urn:schemas-microsoft-com:office:smarttags" w:element="PersonName">
        <w:smartTagPr>
          <w:attr w:name="ProductID" w:val="la Unión Europea"/>
        </w:smartTagPr>
        <w:r w:rsidRPr="00EA5FFE">
          <w:rPr>
            <w:rFonts w:ascii="Tahoma" w:hAnsi="Tahoma" w:cs="Tahoma"/>
            <w:color w:val="000000"/>
            <w:sz w:val="22"/>
            <w:szCs w:val="22"/>
          </w:rPr>
          <w:t>la Unión Europea</w:t>
        </w:r>
      </w:smartTag>
      <w:r w:rsidRPr="00EA5FFE">
        <w:rPr>
          <w:rFonts w:ascii="Tahoma" w:hAnsi="Tahoma" w:cs="Tahoma"/>
          <w:color w:val="000000"/>
          <w:sz w:val="22"/>
          <w:szCs w:val="22"/>
        </w:rPr>
        <w:t xml:space="preserve"> ha confirmado que España cumplió con el objetivo al finalizar el año</w:t>
      </w:r>
      <w:r>
        <w:rPr>
          <w:rFonts w:ascii="Tahoma" w:hAnsi="Tahoma" w:cs="Tahoma"/>
          <w:color w:val="000000"/>
          <w:sz w:val="22"/>
          <w:szCs w:val="22"/>
        </w:rPr>
        <w:t xml:space="preserve"> 2016</w:t>
      </w:r>
      <w:r w:rsidRPr="00EA5FFE">
        <w:rPr>
          <w:rFonts w:ascii="Tahoma" w:hAnsi="Tahoma" w:cs="Tahoma"/>
          <w:color w:val="000000"/>
          <w:sz w:val="22"/>
          <w:szCs w:val="22"/>
        </w:rPr>
        <w:t xml:space="preserve"> con un 4,5% de déficit y que para el ejercicio 2017 estima que acabará en el 3,1% previsto, aunque el FMI cree que incumplirá levemente al alcanzar el 3,2% del PIB </w:t>
      </w:r>
      <w:r>
        <w:rPr>
          <w:rFonts w:ascii="Tahoma" w:hAnsi="Tahoma" w:cs="Tahoma"/>
          <w:color w:val="000000"/>
          <w:sz w:val="22"/>
          <w:szCs w:val="22"/>
        </w:rPr>
        <w:t xml:space="preserve">en 2017 </w:t>
      </w:r>
      <w:r w:rsidRPr="00EA5FFE">
        <w:rPr>
          <w:rFonts w:ascii="Tahoma" w:hAnsi="Tahoma" w:cs="Tahoma"/>
          <w:color w:val="000000"/>
          <w:sz w:val="22"/>
          <w:szCs w:val="22"/>
        </w:rPr>
        <w:t>y e</w:t>
      </w:r>
      <w:r>
        <w:rPr>
          <w:rFonts w:ascii="Tahoma" w:hAnsi="Tahoma" w:cs="Tahoma"/>
          <w:color w:val="000000"/>
          <w:sz w:val="22"/>
          <w:szCs w:val="22"/>
        </w:rPr>
        <w:t xml:space="preserve">l </w:t>
      </w:r>
      <w:r w:rsidRPr="00EA5FFE">
        <w:rPr>
          <w:rFonts w:ascii="Tahoma" w:hAnsi="Tahoma" w:cs="Tahoma"/>
          <w:color w:val="000000"/>
          <w:sz w:val="22"/>
          <w:szCs w:val="22"/>
        </w:rPr>
        <w:t xml:space="preserve">2,5% </w:t>
      </w:r>
      <w:r>
        <w:rPr>
          <w:rFonts w:ascii="Tahoma" w:hAnsi="Tahoma" w:cs="Tahoma"/>
          <w:color w:val="000000"/>
          <w:sz w:val="22"/>
          <w:szCs w:val="22"/>
        </w:rPr>
        <w:t>para</w:t>
      </w:r>
      <w:r w:rsidRPr="00EA5FFE">
        <w:rPr>
          <w:rFonts w:ascii="Tahoma" w:hAnsi="Tahoma" w:cs="Tahoma"/>
          <w:color w:val="000000"/>
          <w:sz w:val="22"/>
          <w:szCs w:val="22"/>
        </w:rPr>
        <w:t xml:space="preserve"> 2018.</w:t>
      </w:r>
    </w:p>
    <w:p w:rsidR="00B9049A" w:rsidRPr="00EA5FFE" w:rsidRDefault="00B9049A" w:rsidP="00EA5FFE">
      <w:pPr>
        <w:spacing w:line="360" w:lineRule="auto"/>
        <w:jc w:val="both"/>
        <w:rPr>
          <w:rFonts w:ascii="Tahoma" w:hAnsi="Tahoma" w:cs="Tahoma"/>
          <w:color w:val="000000"/>
          <w:sz w:val="22"/>
          <w:szCs w:val="22"/>
        </w:rPr>
      </w:pPr>
    </w:p>
    <w:p w:rsidR="00B9049A" w:rsidRPr="00C16559" w:rsidRDefault="00B9049A" w:rsidP="00C16559">
      <w:pPr>
        <w:spacing w:line="360" w:lineRule="auto"/>
        <w:jc w:val="both"/>
        <w:rPr>
          <w:rFonts w:ascii="Tahoma" w:hAnsi="Tahoma" w:cs="Tahoma"/>
          <w:color w:val="000000"/>
          <w:sz w:val="22"/>
          <w:szCs w:val="22"/>
        </w:rPr>
      </w:pPr>
      <w:r w:rsidRPr="00EA5FFE">
        <w:rPr>
          <w:rFonts w:ascii="Tahoma" w:hAnsi="Tahoma" w:cs="Tahoma"/>
          <w:color w:val="000000"/>
          <w:sz w:val="22"/>
          <w:szCs w:val="22"/>
        </w:rPr>
        <w:t xml:space="preserve">El Gobierno, a través del Plan Presupuestario 2018 remitido a Bruselas ha corregido su previsión aprobada en Consejo de Ministros del </w:t>
      </w:r>
      <w:smartTag w:uri="urn:schemas-microsoft-com:office:smarttags" w:element="date">
        <w:smartTagPr>
          <w:attr w:name="Year" w:val="2017"/>
          <w:attr w:name="Day" w:val="7"/>
          <w:attr w:name="Month" w:val="7"/>
          <w:attr w:name="ls" w:val="trans"/>
        </w:smartTagPr>
        <w:r w:rsidRPr="00EA5FFE">
          <w:rPr>
            <w:rFonts w:ascii="Tahoma" w:hAnsi="Tahoma" w:cs="Tahoma"/>
            <w:color w:val="000000"/>
            <w:sz w:val="22"/>
            <w:szCs w:val="22"/>
          </w:rPr>
          <w:t>7 de julio de 2017</w:t>
        </w:r>
      </w:smartTag>
      <w:r w:rsidRPr="00EA5FFE">
        <w:rPr>
          <w:rFonts w:ascii="Tahoma" w:hAnsi="Tahoma" w:cs="Tahoma"/>
          <w:color w:val="000000"/>
          <w:sz w:val="22"/>
          <w:szCs w:val="22"/>
        </w:rPr>
        <w:t>, situando la misma para 2018 en el 2,3% es decir, una décima por encima del objetivo, aunq</w:t>
      </w:r>
      <w:r>
        <w:rPr>
          <w:rFonts w:ascii="Tahoma" w:hAnsi="Tahoma" w:cs="Tahoma"/>
          <w:color w:val="000000"/>
          <w:sz w:val="22"/>
          <w:szCs w:val="22"/>
        </w:rPr>
        <w:t>ue espera que España salga del P</w:t>
      </w:r>
      <w:r w:rsidRPr="00EA5FFE">
        <w:rPr>
          <w:rFonts w:ascii="Tahoma" w:hAnsi="Tahoma" w:cs="Tahoma"/>
          <w:color w:val="000000"/>
          <w:sz w:val="22"/>
          <w:szCs w:val="22"/>
        </w:rPr>
        <w:t xml:space="preserve">rocedimiento </w:t>
      </w:r>
      <w:r w:rsidRPr="00EA5FFE">
        <w:rPr>
          <w:rFonts w:ascii="Tahoma" w:hAnsi="Tahoma" w:cs="Tahoma"/>
          <w:color w:val="000000"/>
          <w:sz w:val="22"/>
          <w:szCs w:val="22"/>
        </w:rPr>
        <w:lastRenderedPageBreak/>
        <w:t>por Déficit Excesivo en dicho ejercicio</w:t>
      </w:r>
      <w:r>
        <w:rPr>
          <w:rFonts w:ascii="Tahoma" w:hAnsi="Tahoma" w:cs="Tahoma"/>
          <w:color w:val="000000"/>
          <w:sz w:val="22"/>
          <w:szCs w:val="22"/>
        </w:rPr>
        <w:t>. Sin embargo,</w:t>
      </w:r>
      <w:r w:rsidRPr="00EA5FFE">
        <w:rPr>
          <w:rFonts w:ascii="Tahoma" w:hAnsi="Tahoma" w:cs="Tahoma"/>
          <w:color w:val="000000"/>
          <w:sz w:val="22"/>
          <w:szCs w:val="22"/>
        </w:rPr>
        <w:t xml:space="preserve"> Bruselas prevé que el déficit español en 2018 se va a situar en el 2,4%.</w:t>
      </w:r>
    </w:p>
    <w:p w:rsidR="00B9049A" w:rsidRDefault="00B9049A" w:rsidP="00132E11">
      <w:pPr>
        <w:autoSpaceDE w:val="0"/>
        <w:autoSpaceDN w:val="0"/>
        <w:adjustRightInd w:val="0"/>
        <w:spacing w:line="360" w:lineRule="auto"/>
        <w:jc w:val="both"/>
        <w:rPr>
          <w:rFonts w:ascii="Tahoma" w:hAnsi="Tahoma" w:cs="Tahoma"/>
          <w:color w:val="000000"/>
          <w:sz w:val="22"/>
          <w:szCs w:val="22"/>
        </w:rPr>
      </w:pPr>
    </w:p>
    <w:p w:rsidR="00B9049A" w:rsidRPr="00FD77CD" w:rsidRDefault="00B9049A" w:rsidP="00A72E0D">
      <w:pPr>
        <w:autoSpaceDE w:val="0"/>
        <w:autoSpaceDN w:val="0"/>
        <w:adjustRightInd w:val="0"/>
        <w:spacing w:line="360" w:lineRule="auto"/>
        <w:jc w:val="both"/>
        <w:rPr>
          <w:rFonts w:ascii="Tahoma" w:hAnsi="Tahoma" w:cs="Tahoma"/>
          <w:color w:val="000000"/>
          <w:sz w:val="22"/>
          <w:szCs w:val="22"/>
        </w:rPr>
      </w:pPr>
      <w:r>
        <w:rPr>
          <w:rFonts w:ascii="Tahoma" w:hAnsi="Tahoma" w:cs="Tahoma"/>
          <w:color w:val="000000"/>
          <w:sz w:val="22"/>
          <w:szCs w:val="22"/>
        </w:rPr>
        <w:t xml:space="preserve">Respecto a </w:t>
      </w:r>
      <w:r w:rsidRPr="00FD77CD">
        <w:rPr>
          <w:rFonts w:ascii="Tahoma" w:hAnsi="Tahoma" w:cs="Tahoma"/>
          <w:color w:val="000000"/>
          <w:sz w:val="22"/>
          <w:szCs w:val="22"/>
        </w:rPr>
        <w:t xml:space="preserve">la deuda pública, lejos de disminuir, ha seguido incrementándose año tras año, </w:t>
      </w:r>
      <w:r>
        <w:rPr>
          <w:rFonts w:ascii="Tahoma" w:hAnsi="Tahoma" w:cs="Tahoma"/>
          <w:color w:val="000000"/>
          <w:sz w:val="22"/>
          <w:szCs w:val="22"/>
        </w:rPr>
        <w:t>manteniéndose</w:t>
      </w:r>
      <w:r w:rsidRPr="00FD77CD">
        <w:rPr>
          <w:rFonts w:ascii="Tahoma" w:hAnsi="Tahoma" w:cs="Tahoma"/>
          <w:color w:val="000000"/>
          <w:sz w:val="22"/>
          <w:szCs w:val="22"/>
        </w:rPr>
        <w:t xml:space="preserve"> ya </w:t>
      </w:r>
      <w:r>
        <w:rPr>
          <w:rFonts w:ascii="Tahoma" w:hAnsi="Tahoma" w:cs="Tahoma"/>
          <w:color w:val="000000"/>
          <w:sz w:val="22"/>
          <w:szCs w:val="22"/>
        </w:rPr>
        <w:t xml:space="preserve">en </w:t>
      </w:r>
      <w:r w:rsidRPr="00432878">
        <w:rPr>
          <w:rFonts w:ascii="Tahoma" w:hAnsi="Tahoma" w:cs="Tahoma"/>
          <w:color w:val="000000"/>
          <w:sz w:val="22"/>
          <w:szCs w:val="22"/>
        </w:rPr>
        <w:t>torno al 100% del PIB español.</w:t>
      </w:r>
    </w:p>
    <w:p w:rsidR="00B9049A" w:rsidRDefault="00B9049A" w:rsidP="00132E11">
      <w:pPr>
        <w:autoSpaceDE w:val="0"/>
        <w:autoSpaceDN w:val="0"/>
        <w:adjustRightInd w:val="0"/>
        <w:spacing w:line="360" w:lineRule="auto"/>
        <w:jc w:val="both"/>
        <w:rPr>
          <w:rFonts w:ascii="Tahoma" w:hAnsi="Tahoma" w:cs="Tahoma"/>
          <w:sz w:val="22"/>
          <w:szCs w:val="22"/>
        </w:rPr>
      </w:pPr>
    </w:p>
    <w:p w:rsidR="00B9049A" w:rsidRDefault="00B9049A" w:rsidP="00132E11">
      <w:pPr>
        <w:autoSpaceDE w:val="0"/>
        <w:autoSpaceDN w:val="0"/>
        <w:adjustRightInd w:val="0"/>
        <w:spacing w:line="360" w:lineRule="auto"/>
        <w:jc w:val="both"/>
        <w:rPr>
          <w:rFonts w:ascii="Tahoma" w:hAnsi="Tahoma" w:cs="Tahoma"/>
          <w:sz w:val="22"/>
          <w:szCs w:val="22"/>
        </w:rPr>
      </w:pPr>
      <w:r>
        <w:rPr>
          <w:rFonts w:ascii="Tahoma" w:hAnsi="Tahoma" w:cs="Tahoma"/>
          <w:sz w:val="22"/>
          <w:szCs w:val="22"/>
        </w:rPr>
        <w:t>Llegado a este punto,</w:t>
      </w:r>
      <w:r w:rsidRPr="00A26AE6">
        <w:rPr>
          <w:rFonts w:ascii="Tahoma" w:hAnsi="Tahoma" w:cs="Tahoma"/>
          <w:sz w:val="22"/>
          <w:szCs w:val="22"/>
        </w:rPr>
        <w:t xml:space="preserve"> parece conveniente realizar un análisis más detallado de la deuda</w:t>
      </w:r>
      <w:r>
        <w:rPr>
          <w:rFonts w:ascii="Tahoma" w:hAnsi="Tahoma" w:cs="Tahoma"/>
          <w:sz w:val="22"/>
          <w:szCs w:val="22"/>
        </w:rPr>
        <w:t xml:space="preserve"> </w:t>
      </w:r>
      <w:r w:rsidRPr="00A26AE6">
        <w:rPr>
          <w:rFonts w:ascii="Tahoma" w:hAnsi="Tahoma" w:cs="Tahoma"/>
          <w:sz w:val="22"/>
          <w:szCs w:val="22"/>
        </w:rPr>
        <w:t>de los diferentes niveles de la administración española</w:t>
      </w:r>
      <w:r>
        <w:rPr>
          <w:rFonts w:ascii="Tahoma" w:hAnsi="Tahoma" w:cs="Tahoma"/>
          <w:sz w:val="22"/>
          <w:szCs w:val="22"/>
        </w:rPr>
        <w:t xml:space="preserve"> en base a</w:t>
      </w:r>
      <w:r w:rsidRPr="00A26AE6">
        <w:rPr>
          <w:rFonts w:ascii="Tahoma" w:hAnsi="Tahoma" w:cs="Tahoma"/>
          <w:sz w:val="22"/>
          <w:szCs w:val="22"/>
        </w:rPr>
        <w:t xml:space="preserve"> </w:t>
      </w:r>
      <w:r>
        <w:rPr>
          <w:rFonts w:ascii="Tahoma" w:hAnsi="Tahoma" w:cs="Tahoma"/>
          <w:sz w:val="22"/>
          <w:szCs w:val="22"/>
        </w:rPr>
        <w:t xml:space="preserve">los datos del Banco de España según </w:t>
      </w:r>
      <w:r w:rsidRPr="00A26AE6">
        <w:rPr>
          <w:rFonts w:ascii="Tahoma" w:hAnsi="Tahoma" w:cs="Tahoma"/>
          <w:sz w:val="22"/>
          <w:szCs w:val="22"/>
        </w:rPr>
        <w:t xml:space="preserve">Protocolo de Déficit </w:t>
      </w:r>
      <w:r w:rsidRPr="00E755FC">
        <w:rPr>
          <w:rFonts w:ascii="Tahoma" w:hAnsi="Tahoma" w:cs="Tahoma"/>
          <w:sz w:val="22"/>
          <w:szCs w:val="22"/>
        </w:rPr>
        <w:t>Excesivo</w:t>
      </w:r>
      <w:r>
        <w:rPr>
          <w:rFonts w:ascii="Tahoma" w:hAnsi="Tahoma" w:cs="Tahoma"/>
          <w:sz w:val="22"/>
          <w:szCs w:val="22"/>
        </w:rPr>
        <w:t>, (</w:t>
      </w:r>
      <w:r w:rsidRPr="00550EF5">
        <w:rPr>
          <w:rFonts w:ascii="Tahoma" w:hAnsi="Tahoma" w:cs="Tahoma"/>
          <w:sz w:val="22"/>
          <w:szCs w:val="22"/>
        </w:rPr>
        <w:t>metodología del</w:t>
      </w:r>
      <w:r>
        <w:rPr>
          <w:rFonts w:ascii="Tahoma" w:hAnsi="Tahoma" w:cs="Tahoma"/>
          <w:sz w:val="22"/>
          <w:szCs w:val="22"/>
        </w:rPr>
        <w:t xml:space="preserve"> </w:t>
      </w:r>
      <w:r w:rsidRPr="00550EF5">
        <w:rPr>
          <w:rFonts w:ascii="Tahoma" w:hAnsi="Tahoma" w:cs="Tahoma"/>
          <w:sz w:val="22"/>
          <w:szCs w:val="22"/>
        </w:rPr>
        <w:t xml:space="preserve">SEC 2010 y </w:t>
      </w:r>
      <w:r>
        <w:rPr>
          <w:rFonts w:ascii="Tahoma" w:hAnsi="Tahoma" w:cs="Tahoma"/>
          <w:sz w:val="22"/>
          <w:szCs w:val="22"/>
        </w:rPr>
        <w:t xml:space="preserve">con datos </w:t>
      </w:r>
      <w:r w:rsidRPr="00550EF5">
        <w:rPr>
          <w:rFonts w:ascii="Tahoma" w:hAnsi="Tahoma" w:cs="Tahoma"/>
          <w:sz w:val="22"/>
          <w:szCs w:val="22"/>
        </w:rPr>
        <w:t>consolida</w:t>
      </w:r>
      <w:r>
        <w:rPr>
          <w:rFonts w:ascii="Tahoma" w:hAnsi="Tahoma" w:cs="Tahoma"/>
          <w:sz w:val="22"/>
          <w:szCs w:val="22"/>
        </w:rPr>
        <w:t>dos, es decir, minorándose los préstamos entre Administraciones en sus distintas modalidades (FLA, Fondo de Proveedores (FFPP</w:t>
      </w:r>
      <w:r w:rsidRPr="00A26AE6">
        <w:rPr>
          <w:rFonts w:ascii="Tahoma" w:hAnsi="Tahoma" w:cs="Tahoma"/>
          <w:sz w:val="22"/>
          <w:szCs w:val="22"/>
        </w:rPr>
        <w:t>)</w:t>
      </w:r>
      <w:r>
        <w:rPr>
          <w:rFonts w:ascii="Tahoma" w:hAnsi="Tahoma" w:cs="Tahoma"/>
          <w:sz w:val="22"/>
          <w:szCs w:val="22"/>
        </w:rPr>
        <w:t>, préstamos a Administraciones de SS, Fondo de Reserva de la SS)</w:t>
      </w:r>
      <w:r w:rsidRPr="00A26AE6">
        <w:rPr>
          <w:rFonts w:ascii="Tahoma" w:hAnsi="Tahoma" w:cs="Tahoma"/>
          <w:sz w:val="22"/>
          <w:szCs w:val="22"/>
        </w:rPr>
        <w:t>:</w:t>
      </w:r>
    </w:p>
    <w:p w:rsidR="00B9049A" w:rsidRDefault="00B9049A" w:rsidP="00132E11">
      <w:pPr>
        <w:autoSpaceDE w:val="0"/>
        <w:autoSpaceDN w:val="0"/>
        <w:adjustRightInd w:val="0"/>
        <w:spacing w:line="360" w:lineRule="auto"/>
        <w:jc w:val="both"/>
        <w:rPr>
          <w:rFonts w:ascii="Tahoma" w:hAnsi="Tahoma" w:cs="Tahoma"/>
          <w:sz w:val="22"/>
          <w:szCs w:val="22"/>
        </w:rPr>
      </w:pPr>
    </w:p>
    <w:p w:rsidR="00B9049A" w:rsidRDefault="00B9049A" w:rsidP="00132E11">
      <w:pPr>
        <w:autoSpaceDE w:val="0"/>
        <w:autoSpaceDN w:val="0"/>
        <w:adjustRightInd w:val="0"/>
        <w:spacing w:line="360" w:lineRule="auto"/>
        <w:ind w:left="709"/>
        <w:jc w:val="both"/>
        <w:rPr>
          <w:rFonts w:ascii="Tahoma" w:hAnsi="Tahoma" w:cs="Tahoma"/>
          <w:sz w:val="22"/>
          <w:szCs w:val="22"/>
        </w:rPr>
      </w:pPr>
      <w:r w:rsidRPr="000670BF">
        <w:rPr>
          <w:rFonts w:ascii="Tahoma" w:hAnsi="Tahoma" w:cs="Tahoma"/>
          <w:sz w:val="22"/>
          <w:szCs w:val="22"/>
        </w:rPr>
        <w:t xml:space="preserve">• </w:t>
      </w:r>
      <w:r w:rsidRPr="007553FE">
        <w:rPr>
          <w:rFonts w:ascii="Tahoma" w:hAnsi="Tahoma" w:cs="Tahoma"/>
          <w:sz w:val="22"/>
          <w:szCs w:val="22"/>
          <w:u w:val="single"/>
        </w:rPr>
        <w:t>Deuda Pública en</w:t>
      </w:r>
      <w:r w:rsidRPr="000670BF">
        <w:rPr>
          <w:rFonts w:ascii="Tahoma" w:hAnsi="Tahoma" w:cs="Tahoma"/>
          <w:sz w:val="22"/>
          <w:szCs w:val="22"/>
          <w:u w:val="single"/>
        </w:rPr>
        <w:t xml:space="preserve"> términos absolutos (miles de millones de euros)</w:t>
      </w:r>
      <w:r w:rsidRPr="000670BF">
        <w:rPr>
          <w:rFonts w:ascii="Tahoma" w:hAnsi="Tahoma" w:cs="Tahoma"/>
          <w:sz w:val="22"/>
          <w:szCs w:val="22"/>
        </w:rPr>
        <w:t>:</w:t>
      </w:r>
      <w:r>
        <w:rPr>
          <w:rFonts w:ascii="Tahoma" w:hAnsi="Tahoma" w:cs="Tahoma"/>
          <w:sz w:val="22"/>
          <w:szCs w:val="22"/>
        </w:rPr>
        <w:t xml:space="preserve"> Tabla nº 1</w:t>
      </w:r>
    </w:p>
    <w:p w:rsidR="00B9049A" w:rsidRPr="000670BF" w:rsidRDefault="00B9049A" w:rsidP="00132E11">
      <w:pPr>
        <w:autoSpaceDE w:val="0"/>
        <w:autoSpaceDN w:val="0"/>
        <w:adjustRightInd w:val="0"/>
        <w:spacing w:line="360" w:lineRule="auto"/>
        <w:ind w:left="709"/>
        <w:jc w:val="both"/>
        <w:rPr>
          <w:rFonts w:ascii="Tahoma" w:hAnsi="Tahoma" w:cs="Tahoma"/>
          <w:sz w:val="22"/>
          <w:szCs w:val="22"/>
        </w:rPr>
      </w:pPr>
    </w:p>
    <w:p w:rsidR="00B9049A" w:rsidRPr="00130B4C" w:rsidRDefault="0026194C" w:rsidP="00191E02">
      <w:pPr>
        <w:autoSpaceDE w:val="0"/>
        <w:autoSpaceDN w:val="0"/>
        <w:adjustRightInd w:val="0"/>
        <w:spacing w:line="360" w:lineRule="auto"/>
        <w:ind w:left="709"/>
        <w:jc w:val="both"/>
      </w:pPr>
      <w:r>
        <w:rPr>
          <w:noProof/>
        </w:rPr>
        <w:drawing>
          <wp:inline distT="0" distB="0" distL="0" distR="0">
            <wp:extent cx="4140200" cy="23876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140200" cy="2387600"/>
                    </a:xfrm>
                    <a:prstGeom prst="rect">
                      <a:avLst/>
                    </a:prstGeom>
                    <a:noFill/>
                    <a:ln w="9525">
                      <a:noFill/>
                      <a:miter lim="800000"/>
                      <a:headEnd/>
                      <a:tailEnd/>
                    </a:ln>
                  </pic:spPr>
                </pic:pic>
              </a:graphicData>
            </a:graphic>
          </wp:inline>
        </w:drawing>
      </w:r>
    </w:p>
    <w:p w:rsidR="00B9049A" w:rsidRPr="004866F5" w:rsidRDefault="00B9049A" w:rsidP="00191E02">
      <w:pPr>
        <w:autoSpaceDE w:val="0"/>
        <w:autoSpaceDN w:val="0"/>
        <w:adjustRightInd w:val="0"/>
        <w:spacing w:line="360" w:lineRule="auto"/>
        <w:ind w:left="709"/>
        <w:jc w:val="both"/>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r w:rsidRPr="00550EF5">
        <w:rPr>
          <w:rFonts w:ascii="Tahoma" w:hAnsi="Tahoma" w:cs="Tahoma"/>
          <w:color w:val="000000"/>
          <w:sz w:val="22"/>
          <w:szCs w:val="22"/>
        </w:rPr>
        <w:t xml:space="preserve">• </w:t>
      </w:r>
      <w:r w:rsidRPr="007553FE">
        <w:rPr>
          <w:rFonts w:ascii="Tahoma" w:hAnsi="Tahoma" w:cs="Tahoma"/>
          <w:color w:val="000000"/>
          <w:sz w:val="22"/>
          <w:szCs w:val="22"/>
          <w:u w:val="single"/>
        </w:rPr>
        <w:t>Deuda Pública en</w:t>
      </w:r>
      <w:r w:rsidRPr="00550EF5">
        <w:rPr>
          <w:rFonts w:ascii="Tahoma" w:hAnsi="Tahoma" w:cs="Tahoma"/>
          <w:color w:val="000000"/>
          <w:sz w:val="22"/>
          <w:szCs w:val="22"/>
          <w:u w:val="single"/>
        </w:rPr>
        <w:t xml:space="preserve"> términos relativos</w:t>
      </w:r>
      <w:r w:rsidRPr="00550EF5">
        <w:rPr>
          <w:rFonts w:ascii="Tahoma" w:hAnsi="Tahoma" w:cs="Tahoma"/>
          <w:color w:val="000000"/>
          <w:sz w:val="22"/>
          <w:szCs w:val="22"/>
        </w:rPr>
        <w:t>:</w:t>
      </w:r>
      <w:r>
        <w:rPr>
          <w:rFonts w:ascii="Tahoma" w:hAnsi="Tahoma" w:cs="Tahoma"/>
          <w:color w:val="000000"/>
          <w:sz w:val="22"/>
          <w:szCs w:val="22"/>
        </w:rPr>
        <w:t xml:space="preserve"> Tabla nº 2</w:t>
      </w:r>
    </w:p>
    <w:p w:rsidR="00B9049A" w:rsidRDefault="00B9049A" w:rsidP="0003655E">
      <w:pPr>
        <w:autoSpaceDE w:val="0"/>
        <w:autoSpaceDN w:val="0"/>
        <w:adjustRightInd w:val="0"/>
        <w:spacing w:line="360" w:lineRule="auto"/>
        <w:ind w:left="709"/>
        <w:jc w:val="both"/>
        <w:rPr>
          <w:rFonts w:ascii="Tahoma" w:hAnsi="Tahoma" w:cs="Tahoma"/>
          <w:color w:val="000000"/>
          <w:sz w:val="22"/>
          <w:szCs w:val="22"/>
        </w:rPr>
      </w:pPr>
    </w:p>
    <w:p w:rsidR="00B9049A" w:rsidRPr="00130B4C" w:rsidRDefault="0026194C" w:rsidP="0003655E">
      <w:pPr>
        <w:autoSpaceDE w:val="0"/>
        <w:autoSpaceDN w:val="0"/>
        <w:adjustRightInd w:val="0"/>
        <w:spacing w:line="360" w:lineRule="auto"/>
        <w:ind w:left="709"/>
        <w:jc w:val="both"/>
      </w:pPr>
      <w:r>
        <w:rPr>
          <w:noProof/>
        </w:rPr>
        <w:drawing>
          <wp:inline distT="0" distB="0" distL="0" distR="0">
            <wp:extent cx="4140200" cy="23622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140200" cy="2362200"/>
                    </a:xfrm>
                    <a:prstGeom prst="rect">
                      <a:avLst/>
                    </a:prstGeom>
                    <a:noFill/>
                    <a:ln w="9525">
                      <a:noFill/>
                      <a:miter lim="800000"/>
                      <a:headEnd/>
                      <a:tailEnd/>
                    </a:ln>
                  </pic:spPr>
                </pic:pic>
              </a:graphicData>
            </a:graphic>
          </wp:inline>
        </w:drawing>
      </w:r>
    </w:p>
    <w:p w:rsidR="00B9049A" w:rsidRDefault="00B9049A" w:rsidP="00750664">
      <w:pPr>
        <w:autoSpaceDE w:val="0"/>
        <w:autoSpaceDN w:val="0"/>
        <w:adjustRightInd w:val="0"/>
        <w:spacing w:line="360" w:lineRule="auto"/>
        <w:ind w:left="709"/>
        <w:jc w:val="both"/>
        <w:rPr>
          <w:rFonts w:ascii="Tahoma" w:hAnsi="Tahoma" w:cs="Tahoma"/>
          <w:sz w:val="22"/>
          <w:szCs w:val="22"/>
        </w:rPr>
      </w:pPr>
    </w:p>
    <w:p w:rsidR="00B9049A" w:rsidRDefault="00B9049A" w:rsidP="00FD77CD">
      <w:pPr>
        <w:autoSpaceDE w:val="0"/>
        <w:autoSpaceDN w:val="0"/>
        <w:adjustRightInd w:val="0"/>
        <w:spacing w:line="360" w:lineRule="auto"/>
        <w:ind w:left="709"/>
        <w:jc w:val="both"/>
        <w:rPr>
          <w:rFonts w:ascii="Tahoma" w:hAnsi="Tahoma" w:cs="Tahoma"/>
          <w:color w:val="000000"/>
          <w:sz w:val="22"/>
          <w:szCs w:val="22"/>
        </w:rPr>
      </w:pPr>
      <w:r w:rsidRPr="00E35A68">
        <w:rPr>
          <w:rFonts w:ascii="Tahoma" w:hAnsi="Tahoma" w:cs="Tahoma"/>
          <w:color w:val="000000"/>
          <w:sz w:val="22"/>
          <w:szCs w:val="22"/>
        </w:rPr>
        <w:t xml:space="preserve">• </w:t>
      </w:r>
      <w:r w:rsidRPr="00E35A68">
        <w:rPr>
          <w:rFonts w:ascii="Tahoma" w:hAnsi="Tahoma" w:cs="Tahoma"/>
          <w:color w:val="000000"/>
          <w:sz w:val="22"/>
          <w:szCs w:val="22"/>
          <w:u w:val="single"/>
        </w:rPr>
        <w:t xml:space="preserve">Evolución </w:t>
      </w:r>
      <w:r>
        <w:rPr>
          <w:rFonts w:ascii="Tahoma" w:hAnsi="Tahoma" w:cs="Tahoma"/>
          <w:color w:val="000000"/>
          <w:sz w:val="22"/>
          <w:szCs w:val="22"/>
          <w:u w:val="single"/>
        </w:rPr>
        <w:t xml:space="preserve">de la Deuda </w:t>
      </w:r>
      <w:r w:rsidRPr="00E35A68">
        <w:rPr>
          <w:rFonts w:ascii="Tahoma" w:hAnsi="Tahoma" w:cs="Tahoma"/>
          <w:color w:val="000000"/>
          <w:sz w:val="22"/>
          <w:szCs w:val="22"/>
          <w:u w:val="single"/>
        </w:rPr>
        <w:t>2008</w:t>
      </w:r>
      <w:r>
        <w:rPr>
          <w:rFonts w:ascii="Tahoma" w:hAnsi="Tahoma" w:cs="Tahoma"/>
          <w:color w:val="000000"/>
          <w:sz w:val="22"/>
          <w:szCs w:val="22"/>
          <w:u w:val="single"/>
        </w:rPr>
        <w:t xml:space="preserve"> </w:t>
      </w:r>
      <w:r w:rsidRPr="00E35A68">
        <w:rPr>
          <w:rFonts w:ascii="Tahoma" w:hAnsi="Tahoma" w:cs="Tahoma"/>
          <w:color w:val="000000"/>
          <w:sz w:val="22"/>
          <w:szCs w:val="22"/>
          <w:u w:val="single"/>
        </w:rPr>
        <w:t>-</w:t>
      </w:r>
      <w:r>
        <w:rPr>
          <w:rFonts w:ascii="Tahoma" w:hAnsi="Tahoma" w:cs="Tahoma"/>
          <w:color w:val="000000"/>
          <w:sz w:val="22"/>
          <w:szCs w:val="22"/>
          <w:u w:val="single"/>
        </w:rPr>
        <w:t xml:space="preserve"> </w:t>
      </w:r>
      <w:r w:rsidRPr="00E35A68">
        <w:rPr>
          <w:rFonts w:ascii="Tahoma" w:hAnsi="Tahoma" w:cs="Tahoma"/>
          <w:color w:val="000000"/>
          <w:sz w:val="22"/>
          <w:szCs w:val="22"/>
          <w:u w:val="single"/>
        </w:rPr>
        <w:t>201</w:t>
      </w:r>
      <w:r>
        <w:rPr>
          <w:rFonts w:ascii="Tahoma" w:hAnsi="Tahoma" w:cs="Tahoma"/>
          <w:color w:val="000000"/>
          <w:sz w:val="22"/>
          <w:szCs w:val="22"/>
          <w:u w:val="single"/>
        </w:rPr>
        <w:t>7</w:t>
      </w:r>
      <w:r w:rsidRPr="00E35A68">
        <w:rPr>
          <w:rFonts w:ascii="Tahoma" w:hAnsi="Tahoma" w:cs="Tahoma"/>
          <w:color w:val="000000"/>
          <w:sz w:val="22"/>
          <w:szCs w:val="22"/>
        </w:rPr>
        <w:t>:</w:t>
      </w:r>
    </w:p>
    <w:p w:rsidR="00B9049A" w:rsidRDefault="00B9049A" w:rsidP="00A307EA">
      <w:pPr>
        <w:autoSpaceDE w:val="0"/>
        <w:autoSpaceDN w:val="0"/>
        <w:adjustRightInd w:val="0"/>
        <w:spacing w:line="360" w:lineRule="auto"/>
        <w:jc w:val="both"/>
        <w:rPr>
          <w:rFonts w:ascii="Tahoma" w:hAnsi="Tahoma" w:cs="Tahoma"/>
          <w:color w:val="000000"/>
          <w:sz w:val="22"/>
          <w:szCs w:val="22"/>
        </w:rPr>
      </w:pPr>
    </w:p>
    <w:p w:rsidR="00B9049A" w:rsidRPr="004D3539" w:rsidRDefault="0026194C" w:rsidP="00A307EA">
      <w:pPr>
        <w:autoSpaceDE w:val="0"/>
        <w:autoSpaceDN w:val="0"/>
        <w:adjustRightInd w:val="0"/>
        <w:spacing w:line="360" w:lineRule="auto"/>
        <w:jc w:val="both"/>
        <w:rPr>
          <w:rFonts w:ascii="Tahoma" w:hAnsi="Tahoma" w:cs="Tahoma"/>
          <w:color w:val="000000"/>
          <w:sz w:val="22"/>
          <w:szCs w:val="22"/>
        </w:rPr>
      </w:pPr>
      <w:r>
        <w:rPr>
          <w:noProof/>
        </w:rPr>
        <w:drawing>
          <wp:inline distT="0" distB="0" distL="0" distR="0">
            <wp:extent cx="6083300" cy="33909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083300" cy="3390900"/>
                    </a:xfrm>
                    <a:prstGeom prst="rect">
                      <a:avLst/>
                    </a:prstGeom>
                    <a:noFill/>
                    <a:ln w="9525">
                      <a:noFill/>
                      <a:miter lim="800000"/>
                      <a:headEnd/>
                      <a:tailEnd/>
                    </a:ln>
                  </pic:spPr>
                </pic:pic>
              </a:graphicData>
            </a:graphic>
          </wp:inline>
        </w:drawing>
      </w:r>
    </w:p>
    <w:p w:rsidR="00B9049A" w:rsidRPr="004D3539" w:rsidRDefault="0026194C" w:rsidP="00132E11">
      <w:pPr>
        <w:autoSpaceDE w:val="0"/>
        <w:autoSpaceDN w:val="0"/>
        <w:adjustRightInd w:val="0"/>
        <w:spacing w:line="360" w:lineRule="auto"/>
        <w:ind w:left="709"/>
        <w:jc w:val="both"/>
        <w:rPr>
          <w:rFonts w:ascii="Tahoma" w:hAnsi="Tahoma" w:cs="Tahoma"/>
          <w:sz w:val="18"/>
          <w:szCs w:val="18"/>
        </w:rPr>
      </w:pPr>
      <w:r>
        <w:rPr>
          <w:noProof/>
        </w:rPr>
        <w:drawing>
          <wp:inline distT="0" distB="0" distL="0" distR="0">
            <wp:extent cx="6045200" cy="368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045200" cy="368300"/>
                    </a:xfrm>
                    <a:prstGeom prst="rect">
                      <a:avLst/>
                    </a:prstGeom>
                    <a:noFill/>
                    <a:ln w="9525">
                      <a:noFill/>
                      <a:miter lim="800000"/>
                      <a:headEnd/>
                      <a:tailEnd/>
                    </a:ln>
                  </pic:spPr>
                </pic:pic>
              </a:graphicData>
            </a:graphic>
          </wp:inline>
        </w:drawing>
      </w:r>
    </w:p>
    <w:p w:rsidR="00B9049A" w:rsidRDefault="00B9049A" w:rsidP="00132E11">
      <w:pPr>
        <w:autoSpaceDE w:val="0"/>
        <w:autoSpaceDN w:val="0"/>
        <w:adjustRightInd w:val="0"/>
        <w:spacing w:line="360" w:lineRule="auto"/>
        <w:ind w:left="709"/>
        <w:jc w:val="both"/>
        <w:rPr>
          <w:rFonts w:ascii="Tahoma" w:hAnsi="Tahoma" w:cs="Tahoma"/>
          <w:sz w:val="18"/>
          <w:szCs w:val="18"/>
        </w:rPr>
      </w:pPr>
    </w:p>
    <w:p w:rsidR="00B9049A" w:rsidRDefault="00B9049A" w:rsidP="00132E11">
      <w:pPr>
        <w:autoSpaceDE w:val="0"/>
        <w:autoSpaceDN w:val="0"/>
        <w:adjustRightInd w:val="0"/>
        <w:spacing w:line="360" w:lineRule="auto"/>
        <w:ind w:left="709"/>
        <w:jc w:val="both"/>
        <w:rPr>
          <w:rFonts w:ascii="Tahoma" w:hAnsi="Tahoma" w:cs="Tahoma"/>
          <w:sz w:val="18"/>
          <w:szCs w:val="18"/>
        </w:rPr>
      </w:pPr>
    </w:p>
    <w:p w:rsidR="00B9049A" w:rsidRDefault="00B9049A" w:rsidP="00132E11">
      <w:pPr>
        <w:autoSpaceDE w:val="0"/>
        <w:autoSpaceDN w:val="0"/>
        <w:adjustRightInd w:val="0"/>
        <w:spacing w:line="360" w:lineRule="auto"/>
        <w:ind w:left="709"/>
        <w:jc w:val="both"/>
        <w:rPr>
          <w:rFonts w:ascii="Tahoma" w:hAnsi="Tahoma" w:cs="Tahoma"/>
          <w:sz w:val="18"/>
          <w:szCs w:val="18"/>
        </w:rPr>
      </w:pPr>
    </w:p>
    <w:p w:rsidR="00B9049A" w:rsidRDefault="00B9049A" w:rsidP="00C16559">
      <w:pPr>
        <w:autoSpaceDE w:val="0"/>
        <w:autoSpaceDN w:val="0"/>
        <w:adjustRightInd w:val="0"/>
        <w:spacing w:line="360" w:lineRule="auto"/>
        <w:jc w:val="both"/>
        <w:rPr>
          <w:rFonts w:ascii="Tahoma" w:hAnsi="Tahoma" w:cs="Tahoma"/>
          <w:sz w:val="18"/>
          <w:szCs w:val="18"/>
        </w:rPr>
      </w:pPr>
    </w:p>
    <w:p w:rsidR="00B9049A" w:rsidRDefault="00B9049A" w:rsidP="00C16559">
      <w:pPr>
        <w:autoSpaceDE w:val="0"/>
        <w:autoSpaceDN w:val="0"/>
        <w:adjustRightInd w:val="0"/>
        <w:spacing w:line="360" w:lineRule="auto"/>
        <w:jc w:val="both"/>
        <w:rPr>
          <w:rFonts w:ascii="Tahoma" w:hAnsi="Tahoma" w:cs="Tahoma"/>
          <w:sz w:val="18"/>
          <w:szCs w:val="18"/>
        </w:rPr>
      </w:pPr>
    </w:p>
    <w:p w:rsidR="00B9049A" w:rsidRDefault="00B9049A" w:rsidP="00132E11">
      <w:pPr>
        <w:autoSpaceDE w:val="0"/>
        <w:autoSpaceDN w:val="0"/>
        <w:adjustRightInd w:val="0"/>
        <w:spacing w:line="360" w:lineRule="auto"/>
        <w:jc w:val="both"/>
        <w:rPr>
          <w:rFonts w:ascii="Tahoma" w:hAnsi="Tahoma" w:cs="Tahoma"/>
          <w:b/>
          <w:bCs/>
          <w:color w:val="000000"/>
          <w:sz w:val="22"/>
          <w:szCs w:val="22"/>
        </w:rPr>
      </w:pPr>
      <w:r>
        <w:rPr>
          <w:rFonts w:ascii="Tahoma" w:hAnsi="Tahoma" w:cs="Tahoma"/>
          <w:sz w:val="22"/>
          <w:szCs w:val="22"/>
        </w:rPr>
        <w:t>Si se analiza el gráfico, t</w:t>
      </w:r>
      <w:r w:rsidRPr="00A26AE6">
        <w:rPr>
          <w:rFonts w:ascii="Tahoma" w:hAnsi="Tahoma" w:cs="Tahoma"/>
          <w:sz w:val="22"/>
          <w:szCs w:val="22"/>
        </w:rPr>
        <w:t xml:space="preserve">omando el ejercicio 2008 con base 100, los datos son lo suficientemente elocuentes y ponen de manifiesto que si bien se ha producido un incremento del endeudamiento de todas las administraciones, </w:t>
      </w:r>
      <w:r w:rsidRPr="00B30CA4">
        <w:rPr>
          <w:rFonts w:ascii="Tahoma" w:hAnsi="Tahoma" w:cs="Tahoma"/>
          <w:b/>
          <w:bCs/>
          <w:sz w:val="22"/>
          <w:szCs w:val="22"/>
        </w:rPr>
        <w:t xml:space="preserve">la administración local es con notoria diferencia </w:t>
      </w:r>
      <w:r w:rsidRPr="00047756">
        <w:rPr>
          <w:rFonts w:ascii="Tahoma" w:hAnsi="Tahoma" w:cs="Tahoma"/>
          <w:b/>
          <w:bCs/>
          <w:color w:val="000000"/>
          <w:sz w:val="22"/>
          <w:szCs w:val="22"/>
        </w:rPr>
        <w:t xml:space="preserve">la que menos ha aumentado, produciéndose incluso un cambio de tendencia en </w:t>
      </w:r>
      <w:r>
        <w:rPr>
          <w:rFonts w:ascii="Tahoma" w:hAnsi="Tahoma" w:cs="Tahoma"/>
          <w:b/>
          <w:bCs/>
          <w:color w:val="000000"/>
          <w:sz w:val="22"/>
          <w:szCs w:val="22"/>
        </w:rPr>
        <w:t>el año 2013</w:t>
      </w:r>
      <w:r w:rsidRPr="00047756">
        <w:rPr>
          <w:rFonts w:ascii="Tahoma" w:hAnsi="Tahoma" w:cs="Tahoma"/>
          <w:b/>
          <w:bCs/>
          <w:color w:val="000000"/>
          <w:sz w:val="22"/>
          <w:szCs w:val="22"/>
        </w:rPr>
        <w:t xml:space="preserve">, </w:t>
      </w:r>
      <w:r>
        <w:rPr>
          <w:rFonts w:ascii="Tahoma" w:hAnsi="Tahoma" w:cs="Tahoma"/>
          <w:b/>
          <w:bCs/>
          <w:color w:val="000000"/>
          <w:sz w:val="22"/>
          <w:szCs w:val="22"/>
        </w:rPr>
        <w:t xml:space="preserve">que continúa hasta el segundo trimestre de 2017, </w:t>
      </w:r>
      <w:r w:rsidRPr="00562B4B">
        <w:rPr>
          <w:rFonts w:ascii="Tahoma" w:hAnsi="Tahoma" w:cs="Tahoma"/>
          <w:b/>
          <w:bCs/>
          <w:color w:val="000000"/>
          <w:sz w:val="22"/>
          <w:szCs w:val="22"/>
        </w:rPr>
        <w:t xml:space="preserve">fecha hasta la que hay datos disponibles, situándose </w:t>
      </w:r>
      <w:r>
        <w:rPr>
          <w:rFonts w:ascii="Tahoma" w:hAnsi="Tahoma" w:cs="Tahoma"/>
          <w:b/>
          <w:bCs/>
          <w:color w:val="000000"/>
          <w:sz w:val="22"/>
          <w:szCs w:val="22"/>
        </w:rPr>
        <w:t xml:space="preserve">finalmente </w:t>
      </w:r>
      <w:r w:rsidRPr="00562B4B">
        <w:rPr>
          <w:rFonts w:ascii="Tahoma" w:hAnsi="Tahoma" w:cs="Tahoma"/>
          <w:b/>
          <w:bCs/>
          <w:color w:val="000000"/>
          <w:sz w:val="22"/>
          <w:szCs w:val="22"/>
        </w:rPr>
        <w:t>en cifras muy similares a las de 20</w:t>
      </w:r>
      <w:r>
        <w:rPr>
          <w:rFonts w:ascii="Tahoma" w:hAnsi="Tahoma" w:cs="Tahoma"/>
          <w:b/>
          <w:bCs/>
          <w:color w:val="000000"/>
          <w:sz w:val="22"/>
          <w:szCs w:val="22"/>
        </w:rPr>
        <w:t>08</w:t>
      </w:r>
      <w:r w:rsidRPr="00BD6AAE">
        <w:rPr>
          <w:rFonts w:ascii="Tahoma" w:hAnsi="Tahoma" w:cs="Tahoma"/>
          <w:b/>
          <w:bCs/>
          <w:color w:val="000000"/>
          <w:sz w:val="22"/>
          <w:szCs w:val="22"/>
        </w:rPr>
        <w:t>.</w:t>
      </w:r>
    </w:p>
    <w:p w:rsidR="00B9049A" w:rsidRDefault="00B9049A" w:rsidP="00132E11">
      <w:pPr>
        <w:autoSpaceDE w:val="0"/>
        <w:autoSpaceDN w:val="0"/>
        <w:adjustRightInd w:val="0"/>
        <w:spacing w:line="360" w:lineRule="auto"/>
        <w:jc w:val="both"/>
        <w:rPr>
          <w:rFonts w:ascii="Tahoma" w:hAnsi="Tahoma" w:cs="Tahoma"/>
          <w:b/>
          <w:bCs/>
          <w:color w:val="000000"/>
          <w:sz w:val="22"/>
          <w:szCs w:val="22"/>
        </w:rPr>
      </w:pPr>
    </w:p>
    <w:p w:rsidR="00B9049A" w:rsidRPr="00562B4B" w:rsidRDefault="00B9049A" w:rsidP="00132E11">
      <w:pPr>
        <w:autoSpaceDE w:val="0"/>
        <w:autoSpaceDN w:val="0"/>
        <w:adjustRightInd w:val="0"/>
        <w:spacing w:line="360" w:lineRule="auto"/>
        <w:jc w:val="both"/>
        <w:rPr>
          <w:rFonts w:ascii="Tahoma" w:hAnsi="Tahoma" w:cs="Tahoma"/>
          <w:color w:val="000000"/>
          <w:sz w:val="22"/>
          <w:szCs w:val="22"/>
        </w:rPr>
      </w:pPr>
      <w:r>
        <w:rPr>
          <w:rFonts w:ascii="Tahoma" w:hAnsi="Tahoma" w:cs="Tahoma"/>
          <w:sz w:val="22"/>
          <w:szCs w:val="22"/>
        </w:rPr>
        <w:t>Así, mientras que la</w:t>
      </w:r>
      <w:r w:rsidRPr="00047756">
        <w:rPr>
          <w:rFonts w:ascii="Tahoma" w:hAnsi="Tahoma" w:cs="Tahoma"/>
          <w:sz w:val="22"/>
          <w:szCs w:val="22"/>
        </w:rPr>
        <w:t xml:space="preserve"> deuda de las corporaciones locales </w:t>
      </w:r>
      <w:r>
        <w:rPr>
          <w:rFonts w:ascii="Tahoma" w:hAnsi="Tahoma" w:cs="Tahoma"/>
          <w:sz w:val="22"/>
          <w:szCs w:val="22"/>
        </w:rPr>
        <w:t>en e</w:t>
      </w:r>
      <w:r w:rsidRPr="00047756">
        <w:rPr>
          <w:rFonts w:ascii="Tahoma" w:hAnsi="Tahoma" w:cs="Tahoma"/>
          <w:sz w:val="22"/>
          <w:szCs w:val="22"/>
        </w:rPr>
        <w:t>l período</w:t>
      </w:r>
      <w:r w:rsidRPr="00F52E3F">
        <w:rPr>
          <w:rFonts w:ascii="Tahoma" w:hAnsi="Tahoma" w:cs="Tahoma"/>
          <w:sz w:val="22"/>
          <w:szCs w:val="22"/>
        </w:rPr>
        <w:t xml:space="preserve"> comprendido entre 200</w:t>
      </w:r>
      <w:r>
        <w:rPr>
          <w:rFonts w:ascii="Tahoma" w:hAnsi="Tahoma" w:cs="Tahoma"/>
          <w:sz w:val="22"/>
          <w:szCs w:val="22"/>
        </w:rPr>
        <w:t>8</w:t>
      </w:r>
      <w:r w:rsidRPr="00F52E3F">
        <w:rPr>
          <w:rFonts w:ascii="Tahoma" w:hAnsi="Tahoma" w:cs="Tahoma"/>
          <w:sz w:val="22"/>
          <w:szCs w:val="22"/>
        </w:rPr>
        <w:t xml:space="preserve"> y </w:t>
      </w:r>
      <w:r w:rsidRPr="00562B4B">
        <w:rPr>
          <w:rFonts w:ascii="Tahoma" w:hAnsi="Tahoma" w:cs="Tahoma"/>
          <w:color w:val="000000"/>
          <w:sz w:val="22"/>
          <w:szCs w:val="22"/>
        </w:rPr>
        <w:t>201</w:t>
      </w:r>
      <w:r>
        <w:rPr>
          <w:rFonts w:ascii="Tahoma" w:hAnsi="Tahoma" w:cs="Tahoma"/>
          <w:color w:val="000000"/>
          <w:sz w:val="22"/>
          <w:szCs w:val="22"/>
        </w:rPr>
        <w:t>6</w:t>
      </w:r>
      <w:r w:rsidRPr="00562B4B">
        <w:rPr>
          <w:rFonts w:ascii="Tahoma" w:hAnsi="Tahoma" w:cs="Tahoma"/>
          <w:sz w:val="22"/>
          <w:szCs w:val="22"/>
        </w:rPr>
        <w:t xml:space="preserve"> </w:t>
      </w:r>
      <w:r>
        <w:rPr>
          <w:rFonts w:ascii="Tahoma" w:hAnsi="Tahoma" w:cs="Tahoma"/>
          <w:sz w:val="22"/>
          <w:szCs w:val="22"/>
        </w:rPr>
        <w:t>aumenta levemente (1,26%),</w:t>
      </w:r>
      <w:r w:rsidRPr="00A017D7">
        <w:rPr>
          <w:rFonts w:ascii="Tahoma" w:hAnsi="Tahoma" w:cs="Tahoma"/>
          <w:color w:val="000000"/>
          <w:sz w:val="22"/>
          <w:szCs w:val="22"/>
        </w:rPr>
        <w:t xml:space="preserve"> las Comunidades Autónomas destacan por</w:t>
      </w:r>
      <w:r>
        <w:rPr>
          <w:rFonts w:ascii="Tahoma" w:hAnsi="Tahoma" w:cs="Tahoma"/>
          <w:color w:val="000000"/>
          <w:sz w:val="22"/>
          <w:szCs w:val="22"/>
        </w:rPr>
        <w:t xml:space="preserve"> un fuerte</w:t>
      </w:r>
      <w:r w:rsidRPr="00A017D7">
        <w:rPr>
          <w:rFonts w:ascii="Tahoma" w:hAnsi="Tahoma" w:cs="Tahoma"/>
          <w:color w:val="000000"/>
          <w:sz w:val="22"/>
          <w:szCs w:val="22"/>
        </w:rPr>
        <w:t xml:space="preserve"> </w:t>
      </w:r>
      <w:r>
        <w:rPr>
          <w:rFonts w:ascii="Tahoma" w:hAnsi="Tahoma" w:cs="Tahoma"/>
          <w:color w:val="000000"/>
          <w:sz w:val="22"/>
          <w:szCs w:val="22"/>
        </w:rPr>
        <w:t>incremento que alcanza el</w:t>
      </w:r>
      <w:r w:rsidRPr="00A017D7">
        <w:rPr>
          <w:rFonts w:ascii="Tahoma" w:hAnsi="Tahoma" w:cs="Tahoma"/>
          <w:color w:val="000000"/>
          <w:sz w:val="22"/>
          <w:szCs w:val="22"/>
        </w:rPr>
        <w:t xml:space="preserve"> </w:t>
      </w:r>
      <w:r>
        <w:rPr>
          <w:rFonts w:ascii="Tahoma" w:hAnsi="Tahoma" w:cs="Tahoma"/>
          <w:color w:val="000000"/>
          <w:sz w:val="22"/>
          <w:szCs w:val="22"/>
        </w:rPr>
        <w:t>276</w:t>
      </w:r>
      <w:r w:rsidRPr="00A017D7">
        <w:rPr>
          <w:rFonts w:ascii="Tahoma" w:hAnsi="Tahoma" w:cs="Tahoma"/>
          <w:color w:val="000000"/>
          <w:sz w:val="22"/>
          <w:szCs w:val="22"/>
        </w:rPr>
        <w:t>,</w:t>
      </w:r>
      <w:r>
        <w:rPr>
          <w:rFonts w:ascii="Tahoma" w:hAnsi="Tahoma" w:cs="Tahoma"/>
          <w:color w:val="000000"/>
          <w:sz w:val="22"/>
          <w:szCs w:val="22"/>
        </w:rPr>
        <w:t>36</w:t>
      </w:r>
      <w:r w:rsidRPr="00A017D7">
        <w:rPr>
          <w:rFonts w:ascii="Tahoma" w:hAnsi="Tahoma" w:cs="Tahoma"/>
          <w:color w:val="000000"/>
          <w:sz w:val="22"/>
          <w:szCs w:val="22"/>
        </w:rPr>
        <w:t xml:space="preserve">% en el mismo período, continuando </w:t>
      </w:r>
      <w:r w:rsidRPr="00562B4B">
        <w:rPr>
          <w:rFonts w:ascii="Tahoma" w:hAnsi="Tahoma" w:cs="Tahoma"/>
          <w:color w:val="000000"/>
          <w:sz w:val="22"/>
          <w:szCs w:val="22"/>
        </w:rPr>
        <w:t>dicha te</w:t>
      </w:r>
      <w:r>
        <w:rPr>
          <w:rFonts w:ascii="Tahoma" w:hAnsi="Tahoma" w:cs="Tahoma"/>
          <w:color w:val="000000"/>
          <w:sz w:val="22"/>
          <w:szCs w:val="22"/>
        </w:rPr>
        <w:t>ndencia alcista en el 2T de 2017,</w:t>
      </w:r>
      <w:r w:rsidRPr="00562B4B">
        <w:rPr>
          <w:rFonts w:ascii="Tahoma" w:hAnsi="Tahoma" w:cs="Tahoma"/>
          <w:color w:val="000000"/>
          <w:sz w:val="22"/>
          <w:szCs w:val="22"/>
        </w:rPr>
        <w:t xml:space="preserve"> </w:t>
      </w:r>
      <w:r>
        <w:rPr>
          <w:rFonts w:ascii="Tahoma" w:hAnsi="Tahoma" w:cs="Tahoma"/>
          <w:color w:val="000000"/>
          <w:sz w:val="22"/>
          <w:szCs w:val="22"/>
        </w:rPr>
        <w:t>lo que puede observarse en la pendiente de la curva.</w:t>
      </w:r>
    </w:p>
    <w:p w:rsidR="00B9049A" w:rsidRPr="00A017D7" w:rsidRDefault="00B9049A" w:rsidP="00132E11">
      <w:pPr>
        <w:autoSpaceDE w:val="0"/>
        <w:autoSpaceDN w:val="0"/>
        <w:adjustRightInd w:val="0"/>
        <w:spacing w:line="360" w:lineRule="auto"/>
        <w:jc w:val="both"/>
        <w:rPr>
          <w:rFonts w:ascii="Tahoma" w:hAnsi="Tahoma" w:cs="Tahoma"/>
          <w:color w:val="000000"/>
          <w:sz w:val="22"/>
          <w:szCs w:val="22"/>
        </w:rPr>
      </w:pPr>
    </w:p>
    <w:p w:rsidR="00B9049A" w:rsidRPr="00A017D7" w:rsidRDefault="00B9049A" w:rsidP="00132E11">
      <w:pPr>
        <w:autoSpaceDE w:val="0"/>
        <w:autoSpaceDN w:val="0"/>
        <w:adjustRightInd w:val="0"/>
        <w:spacing w:line="360" w:lineRule="auto"/>
        <w:jc w:val="both"/>
        <w:rPr>
          <w:rFonts w:ascii="Tahoma" w:hAnsi="Tahoma" w:cs="Tahoma"/>
          <w:color w:val="000000"/>
          <w:sz w:val="22"/>
          <w:szCs w:val="22"/>
        </w:rPr>
      </w:pPr>
      <w:r w:rsidRPr="00A017D7">
        <w:rPr>
          <w:rFonts w:ascii="Tahoma" w:hAnsi="Tahoma" w:cs="Tahoma"/>
          <w:color w:val="000000"/>
          <w:sz w:val="22"/>
          <w:szCs w:val="22"/>
        </w:rPr>
        <w:t xml:space="preserve">En lo que se refiere al Estado, su deuda también se ha incrementado de manera significativa, </w:t>
      </w:r>
      <w:r>
        <w:rPr>
          <w:rFonts w:ascii="Tahoma" w:hAnsi="Tahoma" w:cs="Tahoma"/>
          <w:color w:val="000000"/>
          <w:sz w:val="22"/>
          <w:szCs w:val="22"/>
        </w:rPr>
        <w:t xml:space="preserve">un 138,63% en ese período, </w:t>
      </w:r>
      <w:r w:rsidRPr="00A017D7">
        <w:rPr>
          <w:rFonts w:ascii="Tahoma" w:hAnsi="Tahoma" w:cs="Tahoma"/>
          <w:color w:val="000000"/>
          <w:sz w:val="22"/>
          <w:szCs w:val="22"/>
        </w:rPr>
        <w:t xml:space="preserve">continuando </w:t>
      </w:r>
      <w:r>
        <w:rPr>
          <w:rFonts w:ascii="Tahoma" w:hAnsi="Tahoma" w:cs="Tahoma"/>
          <w:color w:val="000000"/>
          <w:sz w:val="22"/>
          <w:szCs w:val="22"/>
        </w:rPr>
        <w:t>la</w:t>
      </w:r>
      <w:r w:rsidRPr="00A017D7">
        <w:rPr>
          <w:rFonts w:ascii="Tahoma" w:hAnsi="Tahoma" w:cs="Tahoma"/>
          <w:color w:val="000000"/>
          <w:sz w:val="22"/>
          <w:szCs w:val="22"/>
        </w:rPr>
        <w:t xml:space="preserve"> tendencia </w:t>
      </w:r>
      <w:r>
        <w:rPr>
          <w:rFonts w:ascii="Tahoma" w:hAnsi="Tahoma" w:cs="Tahoma"/>
          <w:color w:val="000000"/>
          <w:sz w:val="22"/>
          <w:szCs w:val="22"/>
        </w:rPr>
        <w:t>hasta el 2T de 2017.</w:t>
      </w:r>
    </w:p>
    <w:p w:rsidR="00B9049A" w:rsidRDefault="00B9049A" w:rsidP="00132E11">
      <w:pPr>
        <w:autoSpaceDE w:val="0"/>
        <w:autoSpaceDN w:val="0"/>
        <w:adjustRightInd w:val="0"/>
        <w:spacing w:line="360" w:lineRule="auto"/>
        <w:jc w:val="both"/>
        <w:rPr>
          <w:rFonts w:ascii="Tahoma" w:hAnsi="Tahoma" w:cs="Tahoma"/>
          <w:b/>
          <w:bCs/>
          <w:sz w:val="22"/>
          <w:szCs w:val="22"/>
        </w:rPr>
      </w:pPr>
    </w:p>
    <w:p w:rsidR="00B9049A" w:rsidRPr="00A26AE6" w:rsidRDefault="00B9049A" w:rsidP="00132E11">
      <w:pPr>
        <w:autoSpaceDE w:val="0"/>
        <w:autoSpaceDN w:val="0"/>
        <w:adjustRightInd w:val="0"/>
        <w:spacing w:line="360" w:lineRule="auto"/>
        <w:jc w:val="both"/>
        <w:rPr>
          <w:rFonts w:ascii="Tahoma" w:hAnsi="Tahoma" w:cs="Tahoma"/>
          <w:sz w:val="22"/>
          <w:szCs w:val="22"/>
        </w:rPr>
      </w:pPr>
      <w:r w:rsidRPr="00A26AE6">
        <w:rPr>
          <w:rFonts w:ascii="Tahoma" w:hAnsi="Tahoma" w:cs="Tahoma"/>
          <w:sz w:val="22"/>
          <w:szCs w:val="22"/>
        </w:rPr>
        <w:t>De igual forma, si se consideran dichos datos en términos relativos</w:t>
      </w:r>
      <w:r>
        <w:rPr>
          <w:rFonts w:ascii="Tahoma" w:hAnsi="Tahoma" w:cs="Tahoma"/>
          <w:sz w:val="22"/>
          <w:szCs w:val="22"/>
        </w:rPr>
        <w:t xml:space="preserve">, tal y como se muestra en la tabla nº 2, </w:t>
      </w:r>
      <w:r w:rsidRPr="00A26AE6">
        <w:rPr>
          <w:rFonts w:ascii="Tahoma" w:hAnsi="Tahoma" w:cs="Tahoma"/>
          <w:sz w:val="22"/>
          <w:szCs w:val="22"/>
        </w:rPr>
        <w:t xml:space="preserve">se puede apreciar como el </w:t>
      </w:r>
      <w:r>
        <w:rPr>
          <w:rFonts w:ascii="Tahoma" w:hAnsi="Tahoma" w:cs="Tahoma"/>
          <w:sz w:val="22"/>
          <w:szCs w:val="22"/>
        </w:rPr>
        <w:t xml:space="preserve">peso del </w:t>
      </w:r>
      <w:r w:rsidRPr="00C16559">
        <w:rPr>
          <w:rFonts w:ascii="Tahoma" w:hAnsi="Tahoma" w:cs="Tahoma"/>
          <w:b/>
          <w:sz w:val="22"/>
          <w:szCs w:val="22"/>
        </w:rPr>
        <w:t>endeudamiento de las corporaciones locales</w:t>
      </w:r>
      <w:r w:rsidRPr="00A26AE6">
        <w:rPr>
          <w:rFonts w:ascii="Tahoma" w:hAnsi="Tahoma" w:cs="Tahoma"/>
          <w:sz w:val="22"/>
          <w:szCs w:val="22"/>
        </w:rPr>
        <w:t xml:space="preserve"> disminuye paulatinamente respecto al total, pasando </w:t>
      </w:r>
      <w:r>
        <w:rPr>
          <w:rFonts w:ascii="Tahoma" w:hAnsi="Tahoma" w:cs="Tahoma"/>
          <w:sz w:val="22"/>
          <w:szCs w:val="22"/>
        </w:rPr>
        <w:t>de suponer un</w:t>
      </w:r>
      <w:r w:rsidRPr="00A26AE6">
        <w:rPr>
          <w:rFonts w:ascii="Tahoma" w:hAnsi="Tahoma" w:cs="Tahoma"/>
          <w:sz w:val="22"/>
          <w:szCs w:val="22"/>
        </w:rPr>
        <w:t xml:space="preserve"> </w:t>
      </w:r>
      <w:r>
        <w:rPr>
          <w:rFonts w:ascii="Tahoma" w:hAnsi="Tahoma" w:cs="Tahoma"/>
          <w:sz w:val="22"/>
          <w:szCs w:val="22"/>
        </w:rPr>
        <w:t>7</w:t>
      </w:r>
      <w:r w:rsidRPr="00A017D7">
        <w:rPr>
          <w:rFonts w:ascii="Tahoma" w:hAnsi="Tahoma" w:cs="Tahoma"/>
          <w:color w:val="000000"/>
          <w:sz w:val="22"/>
          <w:szCs w:val="22"/>
        </w:rPr>
        <w:t>,</w:t>
      </w:r>
      <w:r>
        <w:rPr>
          <w:rFonts w:ascii="Tahoma" w:hAnsi="Tahoma" w:cs="Tahoma"/>
          <w:color w:val="000000"/>
          <w:sz w:val="22"/>
          <w:szCs w:val="22"/>
        </w:rPr>
        <w:t>23</w:t>
      </w:r>
      <w:r w:rsidRPr="00A017D7">
        <w:rPr>
          <w:rFonts w:ascii="Tahoma" w:hAnsi="Tahoma" w:cs="Tahoma"/>
          <w:color w:val="000000"/>
          <w:sz w:val="22"/>
          <w:szCs w:val="22"/>
        </w:rPr>
        <w:t xml:space="preserve">% del conjunto de la deuda en 2008 al </w:t>
      </w:r>
      <w:r>
        <w:rPr>
          <w:rFonts w:ascii="Tahoma" w:hAnsi="Tahoma" w:cs="Tahoma"/>
          <w:color w:val="000000"/>
          <w:sz w:val="22"/>
          <w:szCs w:val="22"/>
        </w:rPr>
        <w:t>2</w:t>
      </w:r>
      <w:r w:rsidRPr="00A017D7">
        <w:rPr>
          <w:rFonts w:ascii="Tahoma" w:hAnsi="Tahoma" w:cs="Tahoma"/>
          <w:color w:val="000000"/>
          <w:sz w:val="22"/>
          <w:szCs w:val="22"/>
        </w:rPr>
        <w:t>,</w:t>
      </w:r>
      <w:r>
        <w:rPr>
          <w:rFonts w:ascii="Tahoma" w:hAnsi="Tahoma" w:cs="Tahoma"/>
          <w:color w:val="000000"/>
          <w:sz w:val="22"/>
          <w:szCs w:val="22"/>
        </w:rPr>
        <w:t>91</w:t>
      </w:r>
      <w:r w:rsidRPr="00A017D7">
        <w:rPr>
          <w:rFonts w:ascii="Tahoma" w:hAnsi="Tahoma" w:cs="Tahoma"/>
          <w:color w:val="000000"/>
          <w:sz w:val="22"/>
          <w:szCs w:val="22"/>
        </w:rPr>
        <w:t>% en 201</w:t>
      </w:r>
      <w:r>
        <w:rPr>
          <w:rFonts w:ascii="Tahoma" w:hAnsi="Tahoma" w:cs="Tahoma"/>
          <w:color w:val="000000"/>
          <w:sz w:val="22"/>
          <w:szCs w:val="22"/>
        </w:rPr>
        <w:t>6</w:t>
      </w:r>
      <w:r w:rsidRPr="00A017D7">
        <w:rPr>
          <w:rFonts w:ascii="Tahoma" w:hAnsi="Tahoma" w:cs="Tahoma"/>
          <w:color w:val="000000"/>
          <w:sz w:val="22"/>
          <w:szCs w:val="22"/>
        </w:rPr>
        <w:t xml:space="preserve"> y al </w:t>
      </w:r>
      <w:r w:rsidRPr="00C16559">
        <w:rPr>
          <w:rFonts w:ascii="Tahoma" w:hAnsi="Tahoma" w:cs="Tahoma"/>
          <w:b/>
          <w:color w:val="000000"/>
          <w:sz w:val="22"/>
          <w:szCs w:val="22"/>
        </w:rPr>
        <w:t>2,85% en el 2T de 2017</w:t>
      </w:r>
      <w:r w:rsidRPr="009A590B">
        <w:rPr>
          <w:rFonts w:ascii="Tahoma" w:hAnsi="Tahoma" w:cs="Tahoma"/>
          <w:color w:val="000000"/>
          <w:sz w:val="22"/>
          <w:szCs w:val="22"/>
        </w:rPr>
        <w:t>,</w:t>
      </w:r>
      <w:r w:rsidRPr="00A017D7">
        <w:rPr>
          <w:rFonts w:ascii="Tahoma" w:hAnsi="Tahoma" w:cs="Tahoma"/>
          <w:color w:val="000000"/>
          <w:sz w:val="22"/>
          <w:szCs w:val="22"/>
        </w:rPr>
        <w:t xml:space="preserve"> continuan</w:t>
      </w:r>
      <w:r w:rsidRPr="00A26AE6">
        <w:rPr>
          <w:rFonts w:ascii="Tahoma" w:hAnsi="Tahoma" w:cs="Tahoma"/>
          <w:sz w:val="22"/>
          <w:szCs w:val="22"/>
        </w:rPr>
        <w:t xml:space="preserve">do con la tendencia bajista en todo el </w:t>
      </w:r>
      <w:r w:rsidRPr="009E0A1C">
        <w:rPr>
          <w:rFonts w:ascii="Tahoma" w:hAnsi="Tahoma" w:cs="Tahoma"/>
          <w:color w:val="000000"/>
          <w:sz w:val="22"/>
          <w:szCs w:val="22"/>
        </w:rPr>
        <w:t>período 2008 - 201</w:t>
      </w:r>
      <w:r>
        <w:rPr>
          <w:rFonts w:ascii="Tahoma" w:hAnsi="Tahoma" w:cs="Tahoma"/>
          <w:color w:val="000000"/>
          <w:sz w:val="22"/>
          <w:szCs w:val="22"/>
        </w:rPr>
        <w:t>7</w:t>
      </w:r>
      <w:r w:rsidRPr="009E0A1C">
        <w:rPr>
          <w:rFonts w:ascii="Tahoma" w:hAnsi="Tahoma" w:cs="Tahoma"/>
          <w:color w:val="000000"/>
          <w:sz w:val="22"/>
          <w:szCs w:val="22"/>
        </w:rPr>
        <w:t>.</w:t>
      </w:r>
      <w:r>
        <w:rPr>
          <w:rFonts w:ascii="Tahoma" w:hAnsi="Tahoma" w:cs="Tahoma"/>
          <w:sz w:val="22"/>
          <w:szCs w:val="22"/>
        </w:rPr>
        <w:t xml:space="preserve"> Sin embargo, mientras que el Estado ha pasado de un 76,03% al 72,02% en dicho período, el peso del endeudamiento de las Comunidades Autónomas ha alcanzado el 25,13% del total frente al 16,73% que tenían en 2008.</w:t>
      </w:r>
    </w:p>
    <w:p w:rsidR="00B9049A" w:rsidRPr="00CE7C05" w:rsidRDefault="00B9049A" w:rsidP="00132E11">
      <w:pPr>
        <w:autoSpaceDE w:val="0"/>
        <w:autoSpaceDN w:val="0"/>
        <w:adjustRightInd w:val="0"/>
        <w:spacing w:line="360" w:lineRule="auto"/>
        <w:jc w:val="both"/>
        <w:rPr>
          <w:rFonts w:ascii="Tahoma" w:hAnsi="Tahoma" w:cs="Tahoma"/>
          <w:color w:val="000000"/>
          <w:sz w:val="22"/>
          <w:szCs w:val="22"/>
        </w:rPr>
      </w:pPr>
    </w:p>
    <w:p w:rsidR="00B9049A" w:rsidRDefault="00B9049A" w:rsidP="00132E11">
      <w:pPr>
        <w:autoSpaceDE w:val="0"/>
        <w:autoSpaceDN w:val="0"/>
        <w:adjustRightInd w:val="0"/>
        <w:spacing w:line="360" w:lineRule="auto"/>
        <w:jc w:val="both"/>
        <w:rPr>
          <w:rFonts w:ascii="Tahoma" w:hAnsi="Tahoma" w:cs="Tahoma"/>
          <w:sz w:val="22"/>
          <w:szCs w:val="22"/>
        </w:rPr>
      </w:pPr>
      <w:r w:rsidRPr="00946844">
        <w:rPr>
          <w:rFonts w:ascii="Tahoma" w:hAnsi="Tahoma" w:cs="Tahoma"/>
          <w:sz w:val="22"/>
          <w:szCs w:val="22"/>
        </w:rPr>
        <w:t>Por su parte</w:t>
      </w:r>
      <w:r w:rsidRPr="000E138B">
        <w:rPr>
          <w:rFonts w:ascii="Tahoma" w:hAnsi="Tahoma" w:cs="Tahoma"/>
          <w:b/>
          <w:bCs/>
          <w:sz w:val="22"/>
          <w:szCs w:val="22"/>
        </w:rPr>
        <w:t>, la participación del Cabildo Insular de Tenerife en el endeudamiento total</w:t>
      </w:r>
      <w:r w:rsidRPr="00946844">
        <w:rPr>
          <w:rFonts w:ascii="Tahoma" w:hAnsi="Tahoma" w:cs="Tahoma"/>
          <w:sz w:val="22"/>
          <w:szCs w:val="22"/>
        </w:rPr>
        <w:t xml:space="preserve"> de las corporaciones locales según los datos </w:t>
      </w:r>
      <w:r>
        <w:rPr>
          <w:rFonts w:ascii="Tahoma" w:hAnsi="Tahoma" w:cs="Tahoma"/>
          <w:sz w:val="22"/>
          <w:szCs w:val="22"/>
        </w:rPr>
        <w:t>disponibles en</w:t>
      </w:r>
      <w:r w:rsidRPr="00946844">
        <w:rPr>
          <w:rFonts w:ascii="Tahoma" w:hAnsi="Tahoma" w:cs="Tahoma"/>
          <w:sz w:val="22"/>
          <w:szCs w:val="22"/>
        </w:rPr>
        <w:t xml:space="preserve"> la página web del Ministerio de Hacienda</w:t>
      </w:r>
      <w:r>
        <w:rPr>
          <w:rFonts w:ascii="Tahoma" w:hAnsi="Tahoma" w:cs="Tahoma"/>
          <w:sz w:val="22"/>
          <w:szCs w:val="22"/>
        </w:rPr>
        <w:t xml:space="preserve"> y Administraciones Públicas</w:t>
      </w:r>
      <w:r>
        <w:rPr>
          <w:rFonts w:ascii="Tahoma" w:hAnsi="Tahoma" w:cs="Tahoma"/>
          <w:color w:val="000000"/>
          <w:sz w:val="22"/>
          <w:szCs w:val="22"/>
        </w:rPr>
        <w:t>,</w:t>
      </w:r>
      <w:r w:rsidRPr="003B5FE2">
        <w:rPr>
          <w:rFonts w:ascii="Tahoma" w:hAnsi="Tahoma" w:cs="Tahoma"/>
          <w:color w:val="000000"/>
          <w:sz w:val="22"/>
          <w:szCs w:val="22"/>
        </w:rPr>
        <w:t xml:space="preserve"> </w:t>
      </w:r>
      <w:r w:rsidRPr="00E21EC6">
        <w:rPr>
          <w:rFonts w:ascii="Tahoma" w:hAnsi="Tahoma" w:cs="Tahoma"/>
          <w:b/>
          <w:bCs/>
          <w:color w:val="000000"/>
          <w:sz w:val="22"/>
          <w:szCs w:val="22"/>
        </w:rPr>
        <w:t>pasa del 1,20% en 2008</w:t>
      </w:r>
      <w:r w:rsidRPr="00E21EC6">
        <w:rPr>
          <w:rFonts w:ascii="Tahoma" w:hAnsi="Tahoma" w:cs="Tahoma"/>
          <w:color w:val="000000"/>
          <w:sz w:val="22"/>
          <w:szCs w:val="22"/>
        </w:rPr>
        <w:t xml:space="preserve"> sobre un total de 32 mil millones de euros, </w:t>
      </w:r>
      <w:r w:rsidRPr="00E21EC6">
        <w:rPr>
          <w:rFonts w:ascii="Tahoma" w:hAnsi="Tahoma" w:cs="Tahoma"/>
          <w:b/>
          <w:bCs/>
          <w:color w:val="000000"/>
          <w:sz w:val="22"/>
          <w:szCs w:val="22"/>
        </w:rPr>
        <w:t>al 0,7</w:t>
      </w:r>
      <w:r>
        <w:rPr>
          <w:rFonts w:ascii="Tahoma" w:hAnsi="Tahoma" w:cs="Tahoma"/>
          <w:b/>
          <w:bCs/>
          <w:color w:val="000000"/>
          <w:sz w:val="22"/>
          <w:szCs w:val="22"/>
        </w:rPr>
        <w:t>4</w:t>
      </w:r>
      <w:r w:rsidRPr="00E21EC6">
        <w:rPr>
          <w:rFonts w:ascii="Tahoma" w:hAnsi="Tahoma" w:cs="Tahoma"/>
          <w:b/>
          <w:bCs/>
          <w:color w:val="000000"/>
          <w:sz w:val="22"/>
          <w:szCs w:val="22"/>
        </w:rPr>
        <w:t>% en 201</w:t>
      </w:r>
      <w:r>
        <w:rPr>
          <w:rFonts w:ascii="Tahoma" w:hAnsi="Tahoma" w:cs="Tahoma"/>
          <w:b/>
          <w:bCs/>
          <w:color w:val="000000"/>
          <w:sz w:val="22"/>
          <w:szCs w:val="22"/>
        </w:rPr>
        <w:t>6</w:t>
      </w:r>
      <w:r w:rsidRPr="00E21EC6">
        <w:rPr>
          <w:rFonts w:ascii="Tahoma" w:hAnsi="Tahoma" w:cs="Tahoma"/>
          <w:color w:val="000000"/>
          <w:sz w:val="22"/>
          <w:szCs w:val="22"/>
        </w:rPr>
        <w:t xml:space="preserve"> de un tota</w:t>
      </w:r>
      <w:r w:rsidRPr="003B5FE2">
        <w:rPr>
          <w:rFonts w:ascii="Tahoma" w:hAnsi="Tahoma" w:cs="Tahoma"/>
          <w:color w:val="000000"/>
          <w:sz w:val="22"/>
          <w:szCs w:val="22"/>
        </w:rPr>
        <w:t>l de</w:t>
      </w:r>
      <w:r>
        <w:rPr>
          <w:rFonts w:ascii="Tahoma" w:hAnsi="Tahoma" w:cs="Tahoma"/>
          <w:sz w:val="22"/>
          <w:szCs w:val="22"/>
        </w:rPr>
        <w:t xml:space="preserve"> 32,1 mil millones de euros.</w:t>
      </w:r>
    </w:p>
    <w:p w:rsidR="00B9049A" w:rsidRDefault="00B9049A" w:rsidP="00132E11">
      <w:pPr>
        <w:autoSpaceDE w:val="0"/>
        <w:autoSpaceDN w:val="0"/>
        <w:adjustRightInd w:val="0"/>
        <w:spacing w:line="360" w:lineRule="auto"/>
        <w:jc w:val="both"/>
        <w:rPr>
          <w:rFonts w:ascii="Tahoma" w:hAnsi="Tahoma" w:cs="Tahoma"/>
          <w:sz w:val="22"/>
          <w:szCs w:val="22"/>
        </w:rPr>
      </w:pPr>
    </w:p>
    <w:p w:rsidR="00B9049A" w:rsidRPr="00660F41" w:rsidRDefault="00B9049A" w:rsidP="00132E11">
      <w:pPr>
        <w:autoSpaceDE w:val="0"/>
        <w:autoSpaceDN w:val="0"/>
        <w:adjustRightInd w:val="0"/>
        <w:spacing w:line="360" w:lineRule="auto"/>
        <w:jc w:val="both"/>
        <w:rPr>
          <w:rFonts w:ascii="Tahoma" w:hAnsi="Tahoma" w:cs="Tahoma"/>
          <w:color w:val="000000"/>
          <w:sz w:val="22"/>
          <w:szCs w:val="22"/>
        </w:rPr>
      </w:pPr>
      <w:r w:rsidRPr="002305E6">
        <w:rPr>
          <w:rFonts w:ascii="Tahoma" w:hAnsi="Tahoma" w:cs="Tahoma"/>
          <w:color w:val="000000"/>
          <w:sz w:val="22"/>
          <w:szCs w:val="22"/>
        </w:rPr>
        <w:t xml:space="preserve">Si analizamos la evolución del </w:t>
      </w:r>
      <w:r w:rsidRPr="00F80CCF">
        <w:rPr>
          <w:rFonts w:ascii="Tahoma" w:hAnsi="Tahoma" w:cs="Tahoma"/>
          <w:b/>
          <w:color w:val="000000"/>
          <w:sz w:val="22"/>
          <w:szCs w:val="22"/>
        </w:rPr>
        <w:t>endeudamiento real y previsible de esta Corporación a nivel consolidado en el período comprendido entre 2010 y 201</w:t>
      </w:r>
      <w:r>
        <w:rPr>
          <w:rFonts w:ascii="Tahoma" w:hAnsi="Tahoma" w:cs="Tahoma"/>
          <w:b/>
          <w:color w:val="000000"/>
          <w:sz w:val="22"/>
          <w:szCs w:val="22"/>
        </w:rPr>
        <w:t>8</w:t>
      </w:r>
      <w:r w:rsidRPr="00E21EC6">
        <w:rPr>
          <w:rFonts w:ascii="Tahoma" w:hAnsi="Tahoma" w:cs="Tahoma"/>
          <w:color w:val="000000"/>
          <w:sz w:val="22"/>
          <w:szCs w:val="22"/>
        </w:rPr>
        <w:t>,</w:t>
      </w:r>
      <w:r>
        <w:rPr>
          <w:rFonts w:ascii="Tahoma" w:hAnsi="Tahoma" w:cs="Tahoma"/>
          <w:color w:val="000000"/>
          <w:sz w:val="22"/>
          <w:szCs w:val="22"/>
        </w:rPr>
        <w:t xml:space="preserve"> </w:t>
      </w:r>
      <w:r w:rsidRPr="002305E6">
        <w:rPr>
          <w:rFonts w:ascii="Tahoma" w:hAnsi="Tahoma" w:cs="Tahoma"/>
          <w:color w:val="000000"/>
          <w:sz w:val="22"/>
          <w:szCs w:val="22"/>
        </w:rPr>
        <w:t xml:space="preserve">se puede apreciar la significativa </w:t>
      </w:r>
      <w:r w:rsidRPr="00B720D8">
        <w:rPr>
          <w:rFonts w:ascii="Tahoma" w:hAnsi="Tahoma" w:cs="Tahoma"/>
          <w:color w:val="000000"/>
          <w:sz w:val="22"/>
          <w:szCs w:val="22"/>
        </w:rPr>
        <w:t>disminución</w:t>
      </w:r>
      <w:r w:rsidRPr="002305E6">
        <w:rPr>
          <w:rFonts w:ascii="Tahoma" w:hAnsi="Tahoma" w:cs="Tahoma"/>
          <w:color w:val="000000"/>
          <w:sz w:val="22"/>
          <w:szCs w:val="22"/>
        </w:rPr>
        <w:t xml:space="preserve"> del mismo, </w:t>
      </w:r>
      <w:r w:rsidRPr="00660F41">
        <w:rPr>
          <w:rFonts w:ascii="Tahoma" w:hAnsi="Tahoma" w:cs="Tahoma"/>
          <w:color w:val="000000"/>
          <w:sz w:val="22"/>
          <w:szCs w:val="22"/>
        </w:rPr>
        <w:t>ya que de 491,6 millone</w:t>
      </w:r>
      <w:r>
        <w:rPr>
          <w:rFonts w:ascii="Tahoma" w:hAnsi="Tahoma" w:cs="Tahoma"/>
          <w:color w:val="000000"/>
          <w:sz w:val="22"/>
          <w:szCs w:val="22"/>
        </w:rPr>
        <w:t>s de euros en 2010 pasará a 18</w:t>
      </w:r>
      <w:r w:rsidRPr="00660F41">
        <w:rPr>
          <w:rFonts w:ascii="Tahoma" w:hAnsi="Tahoma" w:cs="Tahoma"/>
          <w:color w:val="000000"/>
          <w:sz w:val="22"/>
          <w:szCs w:val="22"/>
        </w:rPr>
        <w:t>3</w:t>
      </w:r>
      <w:r>
        <w:rPr>
          <w:rFonts w:ascii="Tahoma" w:hAnsi="Tahoma" w:cs="Tahoma"/>
          <w:color w:val="000000"/>
          <w:sz w:val="22"/>
          <w:szCs w:val="22"/>
        </w:rPr>
        <w:t>,5</w:t>
      </w:r>
      <w:r w:rsidRPr="00660F41">
        <w:rPr>
          <w:rFonts w:ascii="Tahoma" w:hAnsi="Tahoma" w:cs="Tahoma"/>
          <w:color w:val="000000"/>
          <w:sz w:val="22"/>
          <w:szCs w:val="22"/>
        </w:rPr>
        <w:t xml:space="preserve"> millones en el año 201</w:t>
      </w:r>
      <w:r>
        <w:rPr>
          <w:rFonts w:ascii="Tahoma" w:hAnsi="Tahoma" w:cs="Tahoma"/>
          <w:color w:val="000000"/>
          <w:sz w:val="22"/>
          <w:szCs w:val="22"/>
        </w:rPr>
        <w:t>8</w:t>
      </w:r>
      <w:r w:rsidRPr="00660F41">
        <w:rPr>
          <w:rFonts w:ascii="Tahoma" w:hAnsi="Tahoma" w:cs="Tahoma"/>
          <w:color w:val="000000"/>
          <w:sz w:val="22"/>
          <w:szCs w:val="22"/>
        </w:rPr>
        <w:t xml:space="preserve">, lo que </w:t>
      </w:r>
      <w:r w:rsidRPr="00660F41">
        <w:rPr>
          <w:rFonts w:ascii="Tahoma" w:hAnsi="Tahoma" w:cs="Tahoma"/>
          <w:b/>
          <w:color w:val="000000"/>
          <w:sz w:val="22"/>
          <w:szCs w:val="22"/>
        </w:rPr>
        <w:t xml:space="preserve">supone una reducción del </w:t>
      </w:r>
      <w:r>
        <w:rPr>
          <w:rFonts w:ascii="Tahoma" w:hAnsi="Tahoma" w:cs="Tahoma"/>
          <w:b/>
          <w:color w:val="000000"/>
          <w:sz w:val="22"/>
          <w:szCs w:val="22"/>
        </w:rPr>
        <w:t>63</w:t>
      </w:r>
      <w:r w:rsidRPr="00660F41">
        <w:rPr>
          <w:rFonts w:ascii="Tahoma" w:hAnsi="Tahoma" w:cs="Tahoma"/>
          <w:b/>
          <w:color w:val="000000"/>
          <w:sz w:val="22"/>
          <w:szCs w:val="22"/>
        </w:rPr>
        <w:t>% de</w:t>
      </w:r>
      <w:r>
        <w:rPr>
          <w:rFonts w:ascii="Tahoma" w:hAnsi="Tahoma" w:cs="Tahoma"/>
          <w:b/>
          <w:color w:val="000000"/>
          <w:sz w:val="22"/>
          <w:szCs w:val="22"/>
        </w:rPr>
        <w:t xml:space="preserve"> su</w:t>
      </w:r>
      <w:r w:rsidRPr="00660F41">
        <w:rPr>
          <w:rFonts w:ascii="Tahoma" w:hAnsi="Tahoma" w:cs="Tahoma"/>
          <w:b/>
          <w:color w:val="000000"/>
          <w:sz w:val="22"/>
          <w:szCs w:val="22"/>
        </w:rPr>
        <w:t xml:space="preserve"> endeudamiento</w:t>
      </w:r>
      <w:r w:rsidRPr="00660F41">
        <w:rPr>
          <w:rFonts w:ascii="Tahoma" w:hAnsi="Tahoma" w:cs="Tahoma"/>
          <w:color w:val="000000"/>
          <w:sz w:val="22"/>
          <w:szCs w:val="22"/>
        </w:rPr>
        <w:t>.</w:t>
      </w:r>
    </w:p>
    <w:p w:rsidR="00B9049A" w:rsidRDefault="00B9049A" w:rsidP="00132E11">
      <w:pPr>
        <w:autoSpaceDE w:val="0"/>
        <w:autoSpaceDN w:val="0"/>
        <w:adjustRightInd w:val="0"/>
        <w:spacing w:line="360" w:lineRule="auto"/>
        <w:jc w:val="both"/>
        <w:rPr>
          <w:rFonts w:ascii="Tahoma" w:hAnsi="Tahoma" w:cs="Tahoma"/>
          <w:color w:val="000000"/>
          <w:sz w:val="22"/>
          <w:szCs w:val="22"/>
        </w:rPr>
      </w:pPr>
    </w:p>
    <w:p w:rsidR="00B9049A" w:rsidRDefault="00B9049A" w:rsidP="00132E11">
      <w:pPr>
        <w:autoSpaceDE w:val="0"/>
        <w:autoSpaceDN w:val="0"/>
        <w:adjustRightInd w:val="0"/>
        <w:spacing w:line="360" w:lineRule="auto"/>
        <w:jc w:val="both"/>
        <w:rPr>
          <w:rFonts w:ascii="Tahoma" w:hAnsi="Tahoma" w:cs="Tahoma"/>
          <w:color w:val="000000"/>
          <w:sz w:val="22"/>
          <w:szCs w:val="22"/>
        </w:rPr>
      </w:pPr>
    </w:p>
    <w:p w:rsidR="00B9049A" w:rsidRDefault="0026194C" w:rsidP="00132E11">
      <w:pPr>
        <w:autoSpaceDE w:val="0"/>
        <w:autoSpaceDN w:val="0"/>
        <w:adjustRightInd w:val="0"/>
        <w:spacing w:line="360" w:lineRule="auto"/>
        <w:jc w:val="both"/>
      </w:pPr>
      <w:r>
        <w:rPr>
          <w:noProof/>
        </w:rPr>
        <w:lastRenderedPageBreak/>
        <w:drawing>
          <wp:inline distT="0" distB="0" distL="0" distR="0">
            <wp:extent cx="6070600" cy="2616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070600" cy="2616200"/>
                    </a:xfrm>
                    <a:prstGeom prst="rect">
                      <a:avLst/>
                    </a:prstGeom>
                    <a:noFill/>
                    <a:ln w="9525">
                      <a:noFill/>
                      <a:miter lim="800000"/>
                      <a:headEnd/>
                      <a:tailEnd/>
                    </a:ln>
                  </pic:spPr>
                </pic:pic>
              </a:graphicData>
            </a:graphic>
          </wp:inline>
        </w:drawing>
      </w:r>
      <w:r w:rsidR="00B9049A">
        <w:rPr>
          <w:rFonts w:ascii="Tahoma" w:hAnsi="Tahoma" w:cs="Tahoma"/>
          <w:color w:val="000000"/>
          <w:sz w:val="22"/>
          <w:szCs w:val="22"/>
        </w:rPr>
        <w:tab/>
      </w:r>
    </w:p>
    <w:p w:rsidR="00B9049A" w:rsidRDefault="00B9049A" w:rsidP="0047532B">
      <w:pPr>
        <w:spacing w:line="360" w:lineRule="auto"/>
        <w:jc w:val="both"/>
        <w:rPr>
          <w:rFonts w:ascii="Tahoma" w:hAnsi="Tahoma" w:cs="Tahoma"/>
          <w:color w:val="000000"/>
          <w:sz w:val="22"/>
          <w:szCs w:val="22"/>
        </w:rPr>
      </w:pPr>
    </w:p>
    <w:p w:rsidR="00B9049A" w:rsidRPr="00D91630" w:rsidRDefault="00B9049A" w:rsidP="00C16559">
      <w:pPr>
        <w:spacing w:line="360" w:lineRule="auto"/>
        <w:jc w:val="both"/>
        <w:rPr>
          <w:rFonts w:ascii="Tahoma" w:hAnsi="Tahoma" w:cs="Tahoma"/>
          <w:color w:val="000000"/>
          <w:sz w:val="22"/>
          <w:szCs w:val="22"/>
        </w:rPr>
      </w:pPr>
      <w:r w:rsidRPr="00897B09">
        <w:rPr>
          <w:rFonts w:ascii="Tahoma" w:hAnsi="Tahoma" w:cs="Tahoma"/>
          <w:color w:val="000000"/>
          <w:sz w:val="22"/>
          <w:szCs w:val="22"/>
        </w:rPr>
        <w:t>Esta significativa reducción de la deuda permitirá a la Corporación situarse en diciembre de 201</w:t>
      </w:r>
      <w:r>
        <w:rPr>
          <w:rFonts w:ascii="Tahoma" w:hAnsi="Tahoma" w:cs="Tahoma"/>
          <w:color w:val="000000"/>
          <w:sz w:val="22"/>
          <w:szCs w:val="22"/>
        </w:rPr>
        <w:t>7</w:t>
      </w:r>
      <w:r w:rsidRPr="00897B09">
        <w:rPr>
          <w:rFonts w:ascii="Tahoma" w:hAnsi="Tahoma" w:cs="Tahoma"/>
          <w:color w:val="000000"/>
          <w:sz w:val="22"/>
          <w:szCs w:val="22"/>
        </w:rPr>
        <w:t xml:space="preserve">, en un porcentaje de endeudamiento que podría situarse en torno al </w:t>
      </w:r>
      <w:r w:rsidRPr="004D3539">
        <w:rPr>
          <w:rFonts w:ascii="Tahoma" w:hAnsi="Tahoma" w:cs="Tahoma"/>
          <w:color w:val="000000"/>
          <w:sz w:val="22"/>
          <w:szCs w:val="22"/>
        </w:rPr>
        <w:t>31% de los ingresos corrientes liquidados consolidados (a la es</w:t>
      </w:r>
      <w:r w:rsidRPr="00897B09">
        <w:rPr>
          <w:rFonts w:ascii="Tahoma" w:hAnsi="Tahoma" w:cs="Tahoma"/>
          <w:color w:val="000000"/>
          <w:sz w:val="22"/>
          <w:szCs w:val="22"/>
        </w:rPr>
        <w:t>pera de la liquidación definitiva del Pre</w:t>
      </w:r>
      <w:r w:rsidRPr="00AD0D35">
        <w:rPr>
          <w:rFonts w:ascii="Tahoma" w:hAnsi="Tahoma" w:cs="Tahoma"/>
          <w:color w:val="000000"/>
          <w:sz w:val="22"/>
          <w:szCs w:val="22"/>
        </w:rPr>
        <w:t>supuesto 201</w:t>
      </w:r>
      <w:r>
        <w:rPr>
          <w:rFonts w:ascii="Tahoma" w:hAnsi="Tahoma" w:cs="Tahoma"/>
          <w:color w:val="000000"/>
          <w:sz w:val="22"/>
          <w:szCs w:val="22"/>
        </w:rPr>
        <w:t>7</w:t>
      </w:r>
      <w:r w:rsidRPr="00AD0D35">
        <w:rPr>
          <w:rFonts w:ascii="Tahoma" w:hAnsi="Tahoma" w:cs="Tahoma"/>
          <w:color w:val="000000"/>
          <w:sz w:val="22"/>
          <w:szCs w:val="22"/>
        </w:rPr>
        <w:t xml:space="preserve">), según se detalla en el apartado 3.3. Previsiones de ahorro neto y porcentaje de endeudamiento del presente informe, cuando el TRLRHL establece un límite máximo permitido </w:t>
      </w:r>
      <w:r>
        <w:rPr>
          <w:rFonts w:ascii="Tahoma" w:hAnsi="Tahoma" w:cs="Tahoma"/>
          <w:color w:val="000000"/>
          <w:sz w:val="22"/>
          <w:szCs w:val="22"/>
        </w:rPr>
        <w:t>para concertar operaciones de endeudamiento d</w:t>
      </w:r>
      <w:r w:rsidRPr="00D91630">
        <w:rPr>
          <w:rFonts w:ascii="Tahoma" w:hAnsi="Tahoma" w:cs="Tahoma"/>
          <w:color w:val="000000"/>
          <w:sz w:val="22"/>
          <w:szCs w:val="22"/>
        </w:rPr>
        <w:t>el 110 por 100</w:t>
      </w:r>
      <w:r>
        <w:rPr>
          <w:rFonts w:ascii="Tahoma" w:hAnsi="Tahoma" w:cs="Tahoma"/>
          <w:color w:val="000000"/>
          <w:sz w:val="22"/>
          <w:szCs w:val="22"/>
        </w:rPr>
        <w:t xml:space="preserve">, aunque a partir del 75 por 100 se necesitaría </w:t>
      </w:r>
      <w:r w:rsidRPr="00D91630">
        <w:rPr>
          <w:rFonts w:ascii="Tahoma" w:hAnsi="Tahoma" w:cs="Tahoma"/>
          <w:color w:val="000000"/>
          <w:sz w:val="22"/>
          <w:szCs w:val="22"/>
        </w:rPr>
        <w:t>autorización del Ministerio</w:t>
      </w:r>
      <w:r>
        <w:rPr>
          <w:rFonts w:ascii="Tahoma" w:hAnsi="Tahoma" w:cs="Tahoma"/>
          <w:color w:val="000000"/>
          <w:sz w:val="22"/>
          <w:szCs w:val="22"/>
        </w:rPr>
        <w:t>.</w:t>
      </w:r>
    </w:p>
    <w:p w:rsidR="00B9049A" w:rsidRPr="007B0024" w:rsidRDefault="00B9049A" w:rsidP="0047532B">
      <w:pPr>
        <w:spacing w:line="360" w:lineRule="auto"/>
        <w:jc w:val="both"/>
        <w:rPr>
          <w:rFonts w:ascii="Tahoma" w:hAnsi="Tahoma" w:cs="Tahoma"/>
          <w:color w:val="000000"/>
          <w:sz w:val="22"/>
          <w:szCs w:val="22"/>
        </w:rPr>
      </w:pPr>
    </w:p>
    <w:p w:rsidR="00B9049A" w:rsidRPr="00FF7AB2" w:rsidRDefault="00B9049A" w:rsidP="00132E11">
      <w:pPr>
        <w:autoSpaceDE w:val="0"/>
        <w:autoSpaceDN w:val="0"/>
        <w:adjustRightInd w:val="0"/>
        <w:spacing w:line="360" w:lineRule="auto"/>
        <w:jc w:val="both"/>
        <w:rPr>
          <w:rFonts w:ascii="Tahoma" w:hAnsi="Tahoma" w:cs="Tahoma"/>
          <w:b/>
          <w:bCs/>
          <w:sz w:val="22"/>
          <w:szCs w:val="22"/>
        </w:rPr>
      </w:pPr>
      <w:r>
        <w:rPr>
          <w:rFonts w:ascii="Tahoma" w:hAnsi="Tahoma" w:cs="Tahoma"/>
          <w:b/>
          <w:bCs/>
          <w:sz w:val="22"/>
          <w:szCs w:val="22"/>
          <w:u w:val="single"/>
        </w:rPr>
        <w:t>2</w:t>
      </w:r>
      <w:r w:rsidRPr="00FF7AB2">
        <w:rPr>
          <w:rFonts w:ascii="Tahoma" w:hAnsi="Tahoma" w:cs="Tahoma"/>
          <w:b/>
          <w:bCs/>
          <w:sz w:val="22"/>
          <w:szCs w:val="22"/>
          <w:u w:val="single"/>
        </w:rPr>
        <w:t>.2. Evolución de la normativa sobre endeudamiento de las entidades locales</w:t>
      </w:r>
      <w:r w:rsidRPr="00FF7AB2">
        <w:rPr>
          <w:rFonts w:ascii="Tahoma" w:hAnsi="Tahoma" w:cs="Tahoma"/>
          <w:b/>
          <w:bCs/>
          <w:sz w:val="22"/>
          <w:szCs w:val="22"/>
        </w:rPr>
        <w:t>.</w:t>
      </w:r>
    </w:p>
    <w:p w:rsidR="00B9049A" w:rsidRPr="000813AC" w:rsidRDefault="00B9049A" w:rsidP="00132E11">
      <w:pPr>
        <w:autoSpaceDE w:val="0"/>
        <w:autoSpaceDN w:val="0"/>
        <w:adjustRightInd w:val="0"/>
        <w:spacing w:line="360" w:lineRule="auto"/>
        <w:jc w:val="both"/>
        <w:rPr>
          <w:rFonts w:ascii="Tahoma" w:hAnsi="Tahoma" w:cs="Tahoma"/>
          <w:color w:val="000000"/>
          <w:sz w:val="22"/>
          <w:szCs w:val="22"/>
        </w:rPr>
      </w:pPr>
      <w:r w:rsidRPr="00161727">
        <w:rPr>
          <w:rFonts w:ascii="Tahoma" w:hAnsi="Tahoma" w:cs="Tahoma"/>
          <w:sz w:val="22"/>
          <w:szCs w:val="22"/>
        </w:rPr>
        <w:t xml:space="preserve">La situación descrita con anterioridad pone de manifiesto que </w:t>
      </w:r>
      <w:r w:rsidRPr="001B735D">
        <w:rPr>
          <w:rFonts w:ascii="Tahoma" w:hAnsi="Tahoma" w:cs="Tahoma"/>
          <w:sz w:val="22"/>
          <w:szCs w:val="22"/>
        </w:rPr>
        <w:t xml:space="preserve">los mecanismos de control existentes sobre el endeudamiento de las EE.LL. han funcionado a lo largo de los años de un modo razonable, </w:t>
      </w:r>
      <w:r w:rsidRPr="001B735D">
        <w:rPr>
          <w:rFonts w:ascii="Tahoma" w:hAnsi="Tahoma" w:cs="Tahoma"/>
          <w:color w:val="000000"/>
          <w:sz w:val="22"/>
          <w:szCs w:val="22"/>
        </w:rPr>
        <w:t>ya que mientras que la deuda tanto del Estado como de las Comunidades se ha incrementado en el período estudiado 2008 – 201</w:t>
      </w:r>
      <w:r>
        <w:rPr>
          <w:rFonts w:ascii="Tahoma" w:hAnsi="Tahoma" w:cs="Tahoma"/>
          <w:color w:val="000000"/>
          <w:sz w:val="22"/>
          <w:szCs w:val="22"/>
        </w:rPr>
        <w:t>6</w:t>
      </w:r>
      <w:r w:rsidRPr="00661C1F">
        <w:rPr>
          <w:rFonts w:ascii="Tahoma" w:hAnsi="Tahoma" w:cs="Tahoma"/>
          <w:bCs/>
          <w:color w:val="000000"/>
          <w:sz w:val="22"/>
          <w:szCs w:val="22"/>
        </w:rPr>
        <w:t>,</w:t>
      </w:r>
      <w:r>
        <w:rPr>
          <w:rFonts w:ascii="Tahoma" w:hAnsi="Tahoma" w:cs="Tahoma"/>
          <w:b/>
          <w:bCs/>
          <w:color w:val="000000"/>
          <w:sz w:val="22"/>
          <w:szCs w:val="22"/>
        </w:rPr>
        <w:t xml:space="preserve"> </w:t>
      </w:r>
      <w:r w:rsidRPr="00044AD5">
        <w:rPr>
          <w:rFonts w:ascii="Tahoma" w:hAnsi="Tahoma" w:cs="Tahoma"/>
          <w:b/>
          <w:bCs/>
          <w:color w:val="000000"/>
          <w:sz w:val="22"/>
          <w:szCs w:val="22"/>
        </w:rPr>
        <w:t xml:space="preserve">la de las entidades locales </w:t>
      </w:r>
      <w:r w:rsidRPr="002016AA">
        <w:rPr>
          <w:rFonts w:ascii="Tahoma" w:hAnsi="Tahoma" w:cs="Tahoma"/>
          <w:b/>
          <w:bCs/>
          <w:color w:val="000000"/>
          <w:sz w:val="22"/>
          <w:szCs w:val="22"/>
        </w:rPr>
        <w:t xml:space="preserve">ha </w:t>
      </w:r>
      <w:r>
        <w:rPr>
          <w:rFonts w:ascii="Tahoma" w:hAnsi="Tahoma" w:cs="Tahoma"/>
          <w:b/>
          <w:bCs/>
          <w:color w:val="000000"/>
          <w:sz w:val="22"/>
          <w:szCs w:val="22"/>
        </w:rPr>
        <w:t>aumentado</w:t>
      </w:r>
      <w:r w:rsidRPr="002016AA">
        <w:rPr>
          <w:rFonts w:ascii="Tahoma" w:hAnsi="Tahoma" w:cs="Tahoma"/>
          <w:b/>
          <w:bCs/>
          <w:color w:val="000000"/>
          <w:sz w:val="22"/>
          <w:szCs w:val="22"/>
        </w:rPr>
        <w:t xml:space="preserve"> de forma poco significativa </w:t>
      </w:r>
      <w:r w:rsidRPr="000813AC">
        <w:rPr>
          <w:rFonts w:ascii="Tahoma" w:hAnsi="Tahoma" w:cs="Tahoma"/>
          <w:b/>
          <w:bCs/>
          <w:color w:val="000000"/>
          <w:sz w:val="22"/>
          <w:szCs w:val="22"/>
        </w:rPr>
        <w:t xml:space="preserve">en términos absolutos y ha disminuido considerablemente en términos relativos, </w:t>
      </w:r>
      <w:r>
        <w:rPr>
          <w:rFonts w:ascii="Tahoma" w:hAnsi="Tahoma" w:cs="Tahoma"/>
          <w:b/>
          <w:bCs/>
          <w:color w:val="000000"/>
          <w:sz w:val="22"/>
          <w:szCs w:val="22"/>
        </w:rPr>
        <w:t>colocándose en menos del 3% de la deuda total.</w:t>
      </w:r>
    </w:p>
    <w:p w:rsidR="00B9049A" w:rsidRDefault="00B9049A" w:rsidP="00132E11">
      <w:pPr>
        <w:autoSpaceDE w:val="0"/>
        <w:autoSpaceDN w:val="0"/>
        <w:adjustRightInd w:val="0"/>
        <w:spacing w:line="360" w:lineRule="auto"/>
        <w:jc w:val="both"/>
        <w:rPr>
          <w:rFonts w:ascii="Tahoma" w:hAnsi="Tahoma" w:cs="Tahoma"/>
          <w:sz w:val="22"/>
          <w:szCs w:val="22"/>
        </w:rPr>
      </w:pPr>
    </w:p>
    <w:p w:rsidR="00B9049A" w:rsidRPr="001B735D" w:rsidRDefault="00B9049A" w:rsidP="001B735D">
      <w:pPr>
        <w:autoSpaceDE w:val="0"/>
        <w:autoSpaceDN w:val="0"/>
        <w:adjustRightInd w:val="0"/>
        <w:spacing w:line="360" w:lineRule="auto"/>
        <w:jc w:val="both"/>
        <w:rPr>
          <w:rFonts w:ascii="Tahoma" w:hAnsi="Tahoma" w:cs="Tahoma"/>
          <w:color w:val="000000"/>
          <w:sz w:val="22"/>
          <w:szCs w:val="22"/>
        </w:rPr>
      </w:pPr>
      <w:r>
        <w:rPr>
          <w:rFonts w:ascii="Tahoma" w:hAnsi="Tahoma" w:cs="Tahoma"/>
          <w:sz w:val="22"/>
          <w:szCs w:val="22"/>
        </w:rPr>
        <w:t xml:space="preserve">Conviene recordar aquí que estos mecanismos de control venían ya regulados en el Texto Refundido de la Ley Reguladora </w:t>
      </w:r>
      <w:r w:rsidRPr="00833C23">
        <w:rPr>
          <w:rFonts w:ascii="Tahoma" w:hAnsi="Tahoma" w:cs="Tahoma"/>
          <w:color w:val="000000"/>
          <w:sz w:val="22"/>
          <w:szCs w:val="22"/>
        </w:rPr>
        <w:t>de las Haciendas Locales</w:t>
      </w:r>
      <w:r>
        <w:rPr>
          <w:rFonts w:ascii="Tahoma" w:hAnsi="Tahoma" w:cs="Tahoma"/>
          <w:color w:val="000000"/>
          <w:sz w:val="22"/>
          <w:szCs w:val="22"/>
        </w:rPr>
        <w:t xml:space="preserve"> </w:t>
      </w:r>
      <w:r w:rsidRPr="00E50E62">
        <w:rPr>
          <w:rFonts w:ascii="Tahoma" w:hAnsi="Tahoma" w:cs="Tahoma"/>
          <w:color w:val="000000"/>
          <w:sz w:val="22"/>
          <w:szCs w:val="22"/>
        </w:rPr>
        <w:t>(TRLRHL)</w:t>
      </w:r>
      <w:r>
        <w:rPr>
          <w:rFonts w:ascii="Tahoma" w:hAnsi="Tahoma" w:cs="Tahoma"/>
          <w:color w:val="000000"/>
          <w:sz w:val="22"/>
          <w:szCs w:val="22"/>
        </w:rPr>
        <w:t>, ya que</w:t>
      </w:r>
      <w:r w:rsidRPr="00E50E62">
        <w:rPr>
          <w:rFonts w:ascii="Tahoma" w:hAnsi="Tahoma" w:cs="Tahoma"/>
          <w:sz w:val="22"/>
          <w:szCs w:val="22"/>
        </w:rPr>
        <w:t>, en los apartad</w:t>
      </w:r>
      <w:r>
        <w:rPr>
          <w:rFonts w:ascii="Tahoma" w:hAnsi="Tahoma" w:cs="Tahoma"/>
          <w:color w:val="000000"/>
          <w:sz w:val="22"/>
          <w:szCs w:val="22"/>
        </w:rPr>
        <w:t xml:space="preserve">os 1 y 2 del artículo 53 se establece que no se podrán concertar nuevas operaciones de crédito a largo plazo sin la </w:t>
      </w:r>
      <w:r w:rsidRPr="00365C90">
        <w:rPr>
          <w:rFonts w:ascii="Tahoma" w:hAnsi="Tahoma" w:cs="Tahoma"/>
          <w:b/>
          <w:bCs/>
          <w:color w:val="000000"/>
          <w:sz w:val="22"/>
          <w:szCs w:val="22"/>
        </w:rPr>
        <w:t xml:space="preserve">previa </w:t>
      </w:r>
      <w:r w:rsidRPr="00BC4158">
        <w:rPr>
          <w:rFonts w:ascii="Tahoma" w:hAnsi="Tahoma" w:cs="Tahoma"/>
          <w:b/>
          <w:bCs/>
          <w:color w:val="000000"/>
          <w:sz w:val="22"/>
          <w:szCs w:val="22"/>
        </w:rPr>
        <w:t>autorización</w:t>
      </w:r>
      <w:r>
        <w:rPr>
          <w:rFonts w:ascii="Tahoma" w:hAnsi="Tahoma" w:cs="Tahoma"/>
          <w:color w:val="000000"/>
          <w:sz w:val="22"/>
          <w:szCs w:val="22"/>
        </w:rPr>
        <w:t xml:space="preserve"> de los órganos que tengan atribuida la competencia de tutela financiera de las entidades locales (Ministerio de Hacienda o Comunidades Autónomas), en el caso de que </w:t>
      </w:r>
      <w:r w:rsidRPr="00BC4158">
        <w:rPr>
          <w:rFonts w:ascii="Tahoma" w:hAnsi="Tahoma" w:cs="Tahoma"/>
          <w:b/>
          <w:bCs/>
          <w:color w:val="000000"/>
          <w:sz w:val="22"/>
          <w:szCs w:val="22"/>
        </w:rPr>
        <w:t>concurra alguna de las siguientes circunstancias:</w:t>
      </w:r>
    </w:p>
    <w:p w:rsidR="00B9049A" w:rsidRPr="00BC4158" w:rsidRDefault="00B9049A" w:rsidP="00132E11">
      <w:pPr>
        <w:autoSpaceDE w:val="0"/>
        <w:autoSpaceDN w:val="0"/>
        <w:adjustRightInd w:val="0"/>
        <w:spacing w:line="360" w:lineRule="auto"/>
        <w:ind w:left="709"/>
        <w:jc w:val="both"/>
        <w:rPr>
          <w:rFonts w:ascii="Tahoma" w:hAnsi="Tahoma" w:cs="Tahoma"/>
          <w:b/>
          <w:bCs/>
          <w:color w:val="000000"/>
          <w:sz w:val="22"/>
          <w:szCs w:val="22"/>
        </w:rPr>
      </w:pPr>
    </w:p>
    <w:p w:rsidR="00B9049A" w:rsidRDefault="00B9049A" w:rsidP="00132E11">
      <w:pPr>
        <w:numPr>
          <w:ilvl w:val="0"/>
          <w:numId w:val="14"/>
        </w:numPr>
        <w:spacing w:line="360" w:lineRule="auto"/>
        <w:jc w:val="both"/>
        <w:rPr>
          <w:rFonts w:ascii="Tahoma" w:hAnsi="Tahoma" w:cs="Tahoma"/>
          <w:sz w:val="22"/>
          <w:szCs w:val="22"/>
        </w:rPr>
      </w:pPr>
      <w:r>
        <w:rPr>
          <w:rFonts w:ascii="Tahoma" w:hAnsi="Tahoma" w:cs="Tahoma"/>
          <w:sz w:val="22"/>
          <w:szCs w:val="22"/>
        </w:rPr>
        <w:lastRenderedPageBreak/>
        <w:t xml:space="preserve">Cuando </w:t>
      </w:r>
      <w:r w:rsidRPr="00EF39E2">
        <w:rPr>
          <w:rFonts w:ascii="Tahoma" w:hAnsi="Tahoma" w:cs="Tahoma"/>
          <w:sz w:val="22"/>
          <w:szCs w:val="22"/>
        </w:rPr>
        <w:t>de los estados financieros que reflejen la liquidación de los presupuestos se deduzca un ahorro neto negativo</w:t>
      </w:r>
      <w:r>
        <w:rPr>
          <w:rFonts w:ascii="Tahoma" w:hAnsi="Tahoma" w:cs="Tahoma"/>
          <w:sz w:val="22"/>
          <w:szCs w:val="22"/>
        </w:rPr>
        <w:t>.</w:t>
      </w:r>
    </w:p>
    <w:p w:rsidR="00B9049A" w:rsidRPr="00161727" w:rsidRDefault="00B9049A" w:rsidP="00132E11">
      <w:pPr>
        <w:numPr>
          <w:ilvl w:val="0"/>
          <w:numId w:val="14"/>
        </w:numPr>
        <w:spacing w:line="360" w:lineRule="auto"/>
        <w:jc w:val="both"/>
        <w:rPr>
          <w:rFonts w:ascii="Tahoma" w:hAnsi="Tahoma" w:cs="Tahoma"/>
          <w:sz w:val="22"/>
          <w:szCs w:val="22"/>
        </w:rPr>
      </w:pPr>
      <w:r>
        <w:rPr>
          <w:rFonts w:ascii="Tahoma" w:hAnsi="Tahoma" w:cs="Tahoma"/>
          <w:sz w:val="22"/>
          <w:szCs w:val="22"/>
        </w:rPr>
        <w:t>Cuando el volumen total del capital vivo de las operaciones de crédito vigentes a corto y largo plazo, incluyendo el importe de la operación proyectada exceda del 110% de los ingresos corrientes liquidados o devengados en el ejercicio inmediatamente anterior, según las cifras deducidas de los estados contables consolidados.</w:t>
      </w:r>
    </w:p>
    <w:p w:rsidR="00B9049A" w:rsidRDefault="00B9049A" w:rsidP="00132E11">
      <w:pPr>
        <w:autoSpaceDE w:val="0"/>
        <w:autoSpaceDN w:val="0"/>
        <w:adjustRightInd w:val="0"/>
        <w:spacing w:line="360" w:lineRule="auto"/>
        <w:jc w:val="both"/>
        <w:rPr>
          <w:rFonts w:ascii="Tahoma" w:hAnsi="Tahoma" w:cs="Tahoma"/>
          <w:sz w:val="22"/>
          <w:szCs w:val="22"/>
        </w:rPr>
      </w:pPr>
    </w:p>
    <w:p w:rsidR="00B9049A" w:rsidRPr="00E50E62" w:rsidRDefault="00B9049A" w:rsidP="00132E11">
      <w:pPr>
        <w:autoSpaceDE w:val="0"/>
        <w:autoSpaceDN w:val="0"/>
        <w:adjustRightInd w:val="0"/>
        <w:spacing w:line="360" w:lineRule="auto"/>
        <w:jc w:val="both"/>
        <w:rPr>
          <w:rFonts w:ascii="Tahoma" w:hAnsi="Tahoma" w:cs="Tahoma"/>
          <w:color w:val="000000"/>
          <w:sz w:val="22"/>
          <w:szCs w:val="22"/>
        </w:rPr>
      </w:pPr>
      <w:r w:rsidRPr="00E50E62">
        <w:rPr>
          <w:rFonts w:ascii="Tahoma" w:hAnsi="Tahoma" w:cs="Tahoma"/>
          <w:color w:val="000000"/>
          <w:sz w:val="22"/>
          <w:szCs w:val="22"/>
        </w:rPr>
        <w:t xml:space="preserve">A pesar de la existencia de estos límites para el endeudamiento de las corporaciones locales, en el ejercicio 2010 a través del artículo 14.2 del RDL 8/2010 de 20 de mayo, por el que se adoptan medidas extraordinarias para la reducción del déficit público se estableció que </w:t>
      </w:r>
      <w:r w:rsidRPr="00E50E62">
        <w:rPr>
          <w:rFonts w:ascii="Tahoma" w:hAnsi="Tahoma" w:cs="Tahoma"/>
          <w:b/>
          <w:bCs/>
          <w:color w:val="000000"/>
          <w:sz w:val="22"/>
          <w:szCs w:val="22"/>
        </w:rPr>
        <w:t>desde la entrada en vigor de esa norma y hasta el 31 de diciembre de 2011</w:t>
      </w:r>
      <w:r w:rsidRPr="00E50E62">
        <w:rPr>
          <w:rFonts w:ascii="Tahoma" w:hAnsi="Tahoma" w:cs="Tahoma"/>
          <w:color w:val="000000"/>
          <w:sz w:val="22"/>
          <w:szCs w:val="22"/>
        </w:rPr>
        <w:t xml:space="preserve">, las entidades locales y sus entidades dependientes clasificadas en el sector Administraciones Públicas </w:t>
      </w:r>
      <w:r w:rsidRPr="00E50E62">
        <w:rPr>
          <w:rFonts w:ascii="Tahoma" w:hAnsi="Tahoma" w:cs="Tahoma"/>
          <w:b/>
          <w:bCs/>
          <w:color w:val="000000"/>
          <w:sz w:val="22"/>
          <w:szCs w:val="22"/>
        </w:rPr>
        <w:t>no podrían acudir al crédito público o privado a largo plazo, en cualquiera de sus modalidades</w:t>
      </w:r>
      <w:r w:rsidRPr="00E50E62">
        <w:rPr>
          <w:rFonts w:ascii="Tahoma" w:hAnsi="Tahoma" w:cs="Tahoma"/>
          <w:color w:val="000000"/>
          <w:sz w:val="22"/>
          <w:szCs w:val="22"/>
        </w:rPr>
        <w:t xml:space="preserve">, para la financiación de sus inversiones, </w:t>
      </w:r>
      <w:r w:rsidRPr="00E50E62">
        <w:rPr>
          <w:rFonts w:ascii="Tahoma" w:hAnsi="Tahoma" w:cs="Tahoma"/>
          <w:b/>
          <w:bCs/>
          <w:color w:val="000000"/>
          <w:sz w:val="22"/>
          <w:szCs w:val="22"/>
        </w:rPr>
        <w:t>ni sustituir total o parcialmente operaciones preexistentes</w:t>
      </w:r>
      <w:r w:rsidRPr="00E50E62">
        <w:rPr>
          <w:rFonts w:ascii="Tahoma" w:hAnsi="Tahoma" w:cs="Tahoma"/>
          <w:color w:val="000000"/>
          <w:sz w:val="22"/>
          <w:szCs w:val="22"/>
        </w:rPr>
        <w:t>, a excepción de aquellas que en términos de valor actual neto resultaran beneficiosas para la entidad por disminuir la carga financiera, el plazo de amortización o ambos.</w:t>
      </w:r>
    </w:p>
    <w:p w:rsidR="00B9049A" w:rsidRPr="00E50E62" w:rsidRDefault="00B9049A" w:rsidP="00132E11">
      <w:pPr>
        <w:autoSpaceDE w:val="0"/>
        <w:autoSpaceDN w:val="0"/>
        <w:adjustRightInd w:val="0"/>
        <w:spacing w:line="360" w:lineRule="auto"/>
        <w:jc w:val="both"/>
        <w:rPr>
          <w:rFonts w:ascii="Tahoma" w:hAnsi="Tahoma" w:cs="Tahoma"/>
          <w:color w:val="000000"/>
          <w:sz w:val="22"/>
          <w:szCs w:val="22"/>
        </w:rPr>
      </w:pPr>
    </w:p>
    <w:p w:rsidR="00B9049A" w:rsidRPr="00E50E62" w:rsidRDefault="00B9049A" w:rsidP="00132E11">
      <w:pPr>
        <w:autoSpaceDE w:val="0"/>
        <w:autoSpaceDN w:val="0"/>
        <w:adjustRightInd w:val="0"/>
        <w:spacing w:line="360" w:lineRule="auto"/>
        <w:jc w:val="both"/>
        <w:rPr>
          <w:rFonts w:ascii="Tahoma" w:hAnsi="Tahoma" w:cs="Tahoma"/>
          <w:color w:val="000000"/>
          <w:sz w:val="22"/>
          <w:szCs w:val="22"/>
        </w:rPr>
      </w:pPr>
      <w:r w:rsidRPr="00E50E62">
        <w:rPr>
          <w:rFonts w:ascii="Tahoma" w:hAnsi="Tahoma" w:cs="Tahoma"/>
          <w:color w:val="000000"/>
          <w:sz w:val="22"/>
          <w:szCs w:val="22"/>
        </w:rPr>
        <w:t xml:space="preserve">Posteriormente, a través de la Ley 39/2010, de 22 de diciembre, de Presupuestos Generales del Estado para el año 2011, se modificó dicho apartado Dos del artículo 14 del RDL 8/2010 </w:t>
      </w:r>
      <w:r w:rsidRPr="00E50E62">
        <w:rPr>
          <w:rFonts w:ascii="Tahoma" w:hAnsi="Tahoma" w:cs="Tahoma"/>
          <w:b/>
          <w:bCs/>
          <w:color w:val="000000"/>
          <w:sz w:val="22"/>
          <w:szCs w:val="22"/>
        </w:rPr>
        <w:t>permitiendo en el ejercicio 2011 la concertación de nuevas operaciones de crédito a largo plazo para la financiación de inversiones a las entidades que liquidaran el ejercicio 2010 con ahorro neto positivo cuando el volumen total del capital vivo no excediera del 75 por 100 de los ingresos corrientes liquidados.</w:t>
      </w:r>
      <w:r w:rsidRPr="00E50E62">
        <w:rPr>
          <w:rFonts w:ascii="Tahoma" w:hAnsi="Tahoma" w:cs="Tahoma"/>
          <w:color w:val="000000"/>
          <w:sz w:val="22"/>
          <w:szCs w:val="22"/>
        </w:rPr>
        <w:t xml:space="preserve"> Las entidades que no cumplieran los requisitos anteriores no podrían concertar operaciones de crédito a largo plazo. Con esta Ley se reducía el límite de endeudamiento que tenían las entidades locales en el TRLRHL, es decir, se pasó del 110 por 100 al 75 por 100 de sus ingresos corrientes liquidados consolidados y se estableció </w:t>
      </w:r>
      <w:r w:rsidRPr="00E50E62">
        <w:rPr>
          <w:rFonts w:ascii="Tahoma" w:hAnsi="Tahoma" w:cs="Tahoma"/>
          <w:b/>
          <w:bCs/>
          <w:color w:val="000000"/>
          <w:sz w:val="22"/>
          <w:szCs w:val="22"/>
        </w:rPr>
        <w:t>la imposibilidad de recurrir a préstamos cuando el ahorro neto fuera negativo</w:t>
      </w:r>
      <w:r w:rsidRPr="00E50E62">
        <w:rPr>
          <w:rFonts w:ascii="Tahoma" w:hAnsi="Tahoma" w:cs="Tahoma"/>
          <w:color w:val="000000"/>
          <w:sz w:val="22"/>
          <w:szCs w:val="22"/>
        </w:rPr>
        <w:t>.</w:t>
      </w:r>
    </w:p>
    <w:p w:rsidR="00B9049A" w:rsidRDefault="00B9049A" w:rsidP="00132E11">
      <w:pPr>
        <w:autoSpaceDE w:val="0"/>
        <w:autoSpaceDN w:val="0"/>
        <w:adjustRightInd w:val="0"/>
        <w:spacing w:line="360" w:lineRule="auto"/>
        <w:jc w:val="both"/>
        <w:rPr>
          <w:rFonts w:ascii="Tahoma" w:hAnsi="Tahoma" w:cs="Tahoma"/>
          <w:color w:val="FF0000"/>
          <w:sz w:val="22"/>
          <w:szCs w:val="22"/>
        </w:rPr>
      </w:pPr>
    </w:p>
    <w:p w:rsidR="00B9049A" w:rsidRPr="00E50E62" w:rsidRDefault="00B9049A" w:rsidP="00132E11">
      <w:pPr>
        <w:autoSpaceDE w:val="0"/>
        <w:autoSpaceDN w:val="0"/>
        <w:adjustRightInd w:val="0"/>
        <w:spacing w:line="360" w:lineRule="auto"/>
        <w:jc w:val="both"/>
        <w:rPr>
          <w:rFonts w:ascii="Tahoma" w:hAnsi="Tahoma" w:cs="Tahoma"/>
          <w:color w:val="000000"/>
          <w:sz w:val="22"/>
          <w:szCs w:val="22"/>
        </w:rPr>
      </w:pPr>
      <w:r w:rsidRPr="00E50E62">
        <w:rPr>
          <w:rFonts w:ascii="Tahoma" w:hAnsi="Tahoma" w:cs="Tahoma"/>
          <w:color w:val="000000"/>
          <w:sz w:val="22"/>
          <w:szCs w:val="22"/>
        </w:rPr>
        <w:t xml:space="preserve">Para el ejercicio 2012, mediante el RDL 20/2011, de 30 de diciembre, de medidas urgentes en materia presupuestaria, tributaria y financiera para la corrección del déficit público </w:t>
      </w:r>
      <w:r>
        <w:rPr>
          <w:rFonts w:ascii="Tahoma" w:hAnsi="Tahoma" w:cs="Tahoma"/>
          <w:color w:val="000000"/>
          <w:sz w:val="22"/>
          <w:szCs w:val="22"/>
        </w:rPr>
        <w:t xml:space="preserve">volvió a </w:t>
      </w:r>
      <w:r w:rsidRPr="00E50E62">
        <w:rPr>
          <w:rFonts w:ascii="Tahoma" w:hAnsi="Tahoma" w:cs="Tahoma"/>
          <w:color w:val="000000"/>
          <w:sz w:val="22"/>
          <w:szCs w:val="22"/>
        </w:rPr>
        <w:t>prorrog</w:t>
      </w:r>
      <w:r>
        <w:rPr>
          <w:rFonts w:ascii="Tahoma" w:hAnsi="Tahoma" w:cs="Tahoma"/>
          <w:color w:val="000000"/>
          <w:sz w:val="22"/>
          <w:szCs w:val="22"/>
        </w:rPr>
        <w:t xml:space="preserve">arse </w:t>
      </w:r>
      <w:r w:rsidRPr="00E50E62">
        <w:rPr>
          <w:rFonts w:ascii="Tahoma" w:hAnsi="Tahoma" w:cs="Tahoma"/>
          <w:color w:val="000000"/>
          <w:sz w:val="22"/>
          <w:szCs w:val="22"/>
        </w:rPr>
        <w:t xml:space="preserve">el apartado Dos del artículo 14 del RDL 8/2010 en la redacción dada por la disposición final decimoquinta de la Ley 39/2010, permitiendo por tanto, a las entidades que liquidaran el </w:t>
      </w:r>
      <w:r w:rsidRPr="00E50E62">
        <w:rPr>
          <w:rFonts w:ascii="Tahoma" w:hAnsi="Tahoma" w:cs="Tahoma"/>
          <w:color w:val="000000"/>
          <w:sz w:val="22"/>
          <w:szCs w:val="22"/>
        </w:rPr>
        <w:lastRenderedPageBreak/>
        <w:t>ejercicio anterior con ahorro neto positivo y endeudamiento inferior al 75 por 100 concertar operaciones de crédito a largo plazo para la financiación de inversiones.</w:t>
      </w:r>
    </w:p>
    <w:p w:rsidR="00B9049A" w:rsidRDefault="00B9049A" w:rsidP="00132E11">
      <w:pPr>
        <w:autoSpaceDE w:val="0"/>
        <w:autoSpaceDN w:val="0"/>
        <w:adjustRightInd w:val="0"/>
        <w:spacing w:line="360" w:lineRule="auto"/>
        <w:jc w:val="both"/>
        <w:rPr>
          <w:rFonts w:ascii="Tahoma" w:hAnsi="Tahoma" w:cs="Tahoma"/>
          <w:color w:val="FF0000"/>
          <w:sz w:val="22"/>
          <w:szCs w:val="22"/>
        </w:rPr>
      </w:pPr>
    </w:p>
    <w:p w:rsidR="00B9049A" w:rsidRPr="00E50E62" w:rsidRDefault="00B9049A" w:rsidP="00886D33">
      <w:pPr>
        <w:autoSpaceDE w:val="0"/>
        <w:autoSpaceDN w:val="0"/>
        <w:adjustRightInd w:val="0"/>
        <w:spacing w:line="360" w:lineRule="auto"/>
        <w:jc w:val="both"/>
        <w:rPr>
          <w:rFonts w:ascii="Tahoma" w:hAnsi="Tahoma" w:cs="Tahoma"/>
          <w:color w:val="000000"/>
          <w:sz w:val="22"/>
          <w:szCs w:val="22"/>
        </w:rPr>
      </w:pPr>
      <w:r w:rsidRPr="00E50E62">
        <w:rPr>
          <w:rFonts w:ascii="Tahoma" w:hAnsi="Tahoma" w:cs="Tahoma"/>
          <w:color w:val="000000"/>
          <w:sz w:val="22"/>
          <w:szCs w:val="22"/>
        </w:rPr>
        <w:t>Nuevamente la Ley de Presupuestos Generales del Estado para el ejercicio 2012, Ley 2/2012, en su Disposición final décim</w:t>
      </w:r>
      <w:r>
        <w:rPr>
          <w:rFonts w:ascii="Tahoma" w:hAnsi="Tahoma" w:cs="Tahoma"/>
          <w:color w:val="000000"/>
          <w:sz w:val="22"/>
          <w:szCs w:val="22"/>
        </w:rPr>
        <w:t>o</w:t>
      </w:r>
      <w:r w:rsidRPr="00E50E62">
        <w:rPr>
          <w:rFonts w:ascii="Tahoma" w:hAnsi="Tahoma" w:cs="Tahoma"/>
          <w:color w:val="000000"/>
          <w:sz w:val="22"/>
          <w:szCs w:val="22"/>
        </w:rPr>
        <w:t xml:space="preserve"> octava prorroga para el año 2012 el apartado Dos del artículo 14 del RDL 8/2010, aunque introduce que tanto para el cálculo del ahorro neto y del nivel de endeudamiento hay que deducir el efecto que en ambos casos pueda tener el importe de los ingresos afectados.</w:t>
      </w:r>
    </w:p>
    <w:p w:rsidR="00B9049A" w:rsidRDefault="00B9049A" w:rsidP="00886D33">
      <w:pPr>
        <w:autoSpaceDE w:val="0"/>
        <w:autoSpaceDN w:val="0"/>
        <w:adjustRightInd w:val="0"/>
        <w:spacing w:line="360" w:lineRule="auto"/>
        <w:jc w:val="both"/>
        <w:rPr>
          <w:rFonts w:ascii="Tahoma" w:hAnsi="Tahoma" w:cs="Tahoma"/>
          <w:color w:val="000000"/>
          <w:sz w:val="22"/>
          <w:szCs w:val="22"/>
        </w:rPr>
      </w:pPr>
    </w:p>
    <w:p w:rsidR="00B9049A" w:rsidRPr="004C01A5" w:rsidRDefault="00B9049A" w:rsidP="00886D33">
      <w:pPr>
        <w:autoSpaceDE w:val="0"/>
        <w:autoSpaceDN w:val="0"/>
        <w:adjustRightInd w:val="0"/>
        <w:spacing w:line="360" w:lineRule="auto"/>
        <w:jc w:val="both"/>
        <w:rPr>
          <w:rFonts w:ascii="Tahoma" w:hAnsi="Tahoma" w:cs="Tahoma"/>
          <w:color w:val="000000"/>
          <w:sz w:val="22"/>
          <w:szCs w:val="22"/>
        </w:rPr>
      </w:pPr>
      <w:r w:rsidRPr="004C01A5">
        <w:rPr>
          <w:rFonts w:ascii="Tahoma" w:hAnsi="Tahoma" w:cs="Tahoma"/>
          <w:color w:val="000000"/>
          <w:sz w:val="22"/>
          <w:szCs w:val="22"/>
        </w:rPr>
        <w:t xml:space="preserve">Ya por fin, la Ley de Presupuestos Generales del Estado para 2013, (Ley 17/2012, de 27 de diciembre) en su </w:t>
      </w:r>
      <w:r w:rsidRPr="004C01A5">
        <w:rPr>
          <w:rFonts w:ascii="Tahoma" w:hAnsi="Tahoma" w:cs="Tahoma"/>
          <w:b/>
          <w:bCs/>
          <w:color w:val="000000"/>
          <w:sz w:val="22"/>
          <w:szCs w:val="22"/>
        </w:rPr>
        <w:t>disposición final trigésima primera</w:t>
      </w:r>
      <w:r w:rsidRPr="004C01A5">
        <w:rPr>
          <w:rFonts w:ascii="Tahoma" w:hAnsi="Tahoma" w:cs="Tahoma"/>
          <w:color w:val="000000"/>
          <w:sz w:val="22"/>
          <w:szCs w:val="22"/>
        </w:rPr>
        <w:t xml:space="preserve">, confiere vigencia indefinida a la Disposición Adicional Decimocuarta del RDL 20/2011 (artículo 14.2 del RDL 8/2010 en la redacción dada por la Ley 20/2011).  Es decir, </w:t>
      </w:r>
      <w:r w:rsidRPr="004C01A5">
        <w:rPr>
          <w:rFonts w:ascii="Tahoma" w:hAnsi="Tahoma" w:cs="Tahoma"/>
          <w:b/>
          <w:bCs/>
          <w:color w:val="000000"/>
          <w:sz w:val="22"/>
          <w:szCs w:val="22"/>
        </w:rPr>
        <w:t xml:space="preserve">las entidades locales que tengan ahorro neto positivo podrán concertar nuevas operaciones de crédito a largo plazo para la financiación de inversiones cuando el volumen del capital vivo no exceda del 75 por ciento de los ingresos corrientes liquidados según las cifras deducidas de los estados contables consolidados. </w:t>
      </w:r>
      <w:r w:rsidRPr="004C01A5">
        <w:rPr>
          <w:rFonts w:ascii="Tahoma" w:hAnsi="Tahoma" w:cs="Tahoma"/>
          <w:color w:val="000000"/>
          <w:sz w:val="22"/>
          <w:szCs w:val="22"/>
        </w:rPr>
        <w:t xml:space="preserve">Si bien se precisa que, para la determinación de los ingresos corrientes a computar en el cálculo del ahorro neto y </w:t>
      </w:r>
      <w:r>
        <w:rPr>
          <w:rFonts w:ascii="Tahoma" w:hAnsi="Tahoma" w:cs="Tahoma"/>
          <w:color w:val="000000"/>
          <w:sz w:val="22"/>
          <w:szCs w:val="22"/>
        </w:rPr>
        <w:t xml:space="preserve">en </w:t>
      </w:r>
      <w:r w:rsidRPr="004C01A5">
        <w:rPr>
          <w:rFonts w:ascii="Tahoma" w:hAnsi="Tahoma" w:cs="Tahoma"/>
          <w:color w:val="000000"/>
          <w:sz w:val="22"/>
          <w:szCs w:val="22"/>
        </w:rPr>
        <w:t xml:space="preserve">el nivel de endeudamiento, se deducirá el importe de los ingresos afectados que financien operaciones de capital y cualesquiera otros ingresos extraordinarios aplicados a los capítulos 1 a 5 que, por su afectación legal y/o carácter no recurrente, no tienen la consideración de ingresos ordinarios. </w:t>
      </w:r>
    </w:p>
    <w:p w:rsidR="00B9049A" w:rsidRDefault="00B9049A" w:rsidP="00886D33">
      <w:pPr>
        <w:autoSpaceDE w:val="0"/>
        <w:autoSpaceDN w:val="0"/>
        <w:adjustRightInd w:val="0"/>
        <w:spacing w:line="360" w:lineRule="auto"/>
        <w:jc w:val="both"/>
        <w:rPr>
          <w:rFonts w:ascii="Tahoma" w:hAnsi="Tahoma" w:cs="Tahoma"/>
          <w:color w:val="000000"/>
          <w:sz w:val="22"/>
          <w:szCs w:val="22"/>
        </w:rPr>
      </w:pPr>
    </w:p>
    <w:p w:rsidR="00B9049A" w:rsidRPr="004C01A5" w:rsidRDefault="00B9049A" w:rsidP="00886D33">
      <w:pPr>
        <w:autoSpaceDE w:val="0"/>
        <w:autoSpaceDN w:val="0"/>
        <w:adjustRightInd w:val="0"/>
        <w:spacing w:line="360" w:lineRule="auto"/>
        <w:jc w:val="both"/>
        <w:rPr>
          <w:rFonts w:ascii="Tahoma" w:hAnsi="Tahoma" w:cs="Tahoma"/>
          <w:b/>
          <w:bCs/>
          <w:color w:val="000000"/>
          <w:sz w:val="22"/>
          <w:szCs w:val="22"/>
        </w:rPr>
      </w:pPr>
      <w:r w:rsidRPr="004C01A5">
        <w:rPr>
          <w:rFonts w:ascii="Tahoma" w:hAnsi="Tahoma" w:cs="Tahoma"/>
          <w:color w:val="000000"/>
          <w:sz w:val="22"/>
          <w:szCs w:val="22"/>
        </w:rPr>
        <w:t xml:space="preserve">Como novedad, vuelve a permitirse a aquellas entidades locales que tengan un volumen de endeudamiento que exceda del 75 por 100, pero sea inferior al 110 por 100, concertar operaciones de endeudamiento previa autorización del órgano competente que tenga atribuida la tutela financiera de las entidades locales, al tiempo que establece que </w:t>
      </w:r>
      <w:r w:rsidRPr="004C01A5">
        <w:rPr>
          <w:rFonts w:ascii="Tahoma" w:hAnsi="Tahoma" w:cs="Tahoma"/>
          <w:b/>
          <w:bCs/>
          <w:color w:val="000000"/>
          <w:sz w:val="22"/>
          <w:szCs w:val="22"/>
        </w:rPr>
        <w:t>las entidades que presenten ahorro neto negativo o un volumen de endeudamiento vivo superior al 110 por 100, no podrán concertar operaciones de crédito a largo plazo.</w:t>
      </w:r>
    </w:p>
    <w:p w:rsidR="00B9049A" w:rsidRDefault="00B9049A" w:rsidP="00886D33">
      <w:pPr>
        <w:spacing w:before="100" w:beforeAutospacing="1" w:after="100" w:afterAutospacing="1" w:line="360" w:lineRule="auto"/>
        <w:jc w:val="both"/>
        <w:rPr>
          <w:rFonts w:ascii="Tahoma" w:hAnsi="Tahoma" w:cs="Tahoma"/>
          <w:color w:val="000000"/>
          <w:sz w:val="22"/>
          <w:szCs w:val="22"/>
        </w:rPr>
      </w:pPr>
    </w:p>
    <w:p w:rsidR="00B9049A" w:rsidRPr="006B7DFB" w:rsidRDefault="00B9049A" w:rsidP="00886D33">
      <w:pPr>
        <w:spacing w:before="100" w:beforeAutospacing="1" w:after="100" w:afterAutospacing="1" w:line="360" w:lineRule="auto"/>
        <w:jc w:val="both"/>
        <w:rPr>
          <w:rFonts w:ascii="Tahoma" w:hAnsi="Tahoma" w:cs="Tahoma"/>
          <w:color w:val="000000"/>
          <w:sz w:val="22"/>
          <w:szCs w:val="22"/>
        </w:rPr>
      </w:pPr>
      <w:r w:rsidRPr="006B7DFB">
        <w:rPr>
          <w:rFonts w:ascii="Tahoma" w:hAnsi="Tahoma" w:cs="Tahoma"/>
          <w:color w:val="000000"/>
          <w:sz w:val="22"/>
          <w:szCs w:val="22"/>
        </w:rPr>
        <w:t xml:space="preserve">Además, la misma Ley de Presupuestos Generales del Estado para 2013 estableció una excepción a lo previsto en esa DF trigésima primera mencionada. De este modo, la DA septuagésima tercera, autorizaba la formalización de operaciones de refinanciación de operaciones de crédito a largo plazo concertadas con anterioridad a la entrada en vigor del RD Ley 4/2012, de 24 de febrero, por el que se regulaba el mecanismo de financiación para el pago a los proveedores de las entidades </w:t>
      </w:r>
      <w:r w:rsidRPr="006B7DFB">
        <w:rPr>
          <w:rFonts w:ascii="Tahoma" w:hAnsi="Tahoma" w:cs="Tahoma"/>
          <w:color w:val="000000"/>
          <w:sz w:val="22"/>
          <w:szCs w:val="22"/>
        </w:rPr>
        <w:lastRenderedPageBreak/>
        <w:t>locales, siempre que tuvieran por finalidad la disminución de la carga financiera, la ampliación del período de amortización o el riesgo de aquellas operaciones, respecto a las obligaciones derivadas de las pendientes de vencimiento.</w:t>
      </w:r>
    </w:p>
    <w:p w:rsidR="00B9049A" w:rsidRPr="006B7DFB" w:rsidRDefault="00B9049A" w:rsidP="00886D33">
      <w:pPr>
        <w:spacing w:before="100" w:beforeAutospacing="1" w:after="100" w:afterAutospacing="1" w:line="360" w:lineRule="auto"/>
        <w:jc w:val="both"/>
        <w:rPr>
          <w:rFonts w:ascii="Tahoma" w:hAnsi="Tahoma" w:cs="Tahoma"/>
          <w:color w:val="000000"/>
          <w:sz w:val="22"/>
          <w:szCs w:val="22"/>
        </w:rPr>
      </w:pPr>
      <w:r w:rsidRPr="002016AA">
        <w:rPr>
          <w:rFonts w:ascii="Tahoma" w:hAnsi="Tahoma" w:cs="Tahoma"/>
          <w:color w:val="000000"/>
          <w:sz w:val="22"/>
          <w:szCs w:val="22"/>
        </w:rPr>
        <w:t>Esta disposición</w:t>
      </w:r>
      <w:r>
        <w:rPr>
          <w:rFonts w:ascii="Tahoma" w:hAnsi="Tahoma" w:cs="Tahoma"/>
          <w:color w:val="000000"/>
          <w:sz w:val="22"/>
          <w:szCs w:val="22"/>
        </w:rPr>
        <w:t xml:space="preserve">, </w:t>
      </w:r>
      <w:r w:rsidRPr="006B7DFB">
        <w:rPr>
          <w:rFonts w:ascii="Tahoma" w:hAnsi="Tahoma" w:cs="Tahoma"/>
          <w:color w:val="000000"/>
          <w:sz w:val="22"/>
          <w:szCs w:val="22"/>
        </w:rPr>
        <w:t>posteriormente prorrogada en la Ley de Presupuestos para 2014 (Ley 22/2013, de 23 de diciembre) y para 2015 (Ley 36/2014, de 26 de diciembre), establecía que para la formalización de las operaciones de refinanciación se requería la adopción de un acuerdo del órgano competente de la corporación local, con los requisitos de quórum y votaciones establecidos en la Ley 7/1985, de 2 de abril, Reguladora de las Bases del Régimen Local.</w:t>
      </w:r>
    </w:p>
    <w:p w:rsidR="00B9049A" w:rsidRPr="002016AA" w:rsidRDefault="00B9049A" w:rsidP="00886D33">
      <w:pPr>
        <w:spacing w:before="100" w:beforeAutospacing="1" w:after="100" w:afterAutospacing="1" w:line="360" w:lineRule="auto"/>
        <w:jc w:val="both"/>
        <w:rPr>
          <w:rFonts w:ascii="Tahoma" w:hAnsi="Tahoma" w:cs="Tahoma"/>
          <w:color w:val="000000"/>
          <w:sz w:val="22"/>
          <w:szCs w:val="22"/>
        </w:rPr>
      </w:pPr>
      <w:r w:rsidRPr="002016AA">
        <w:rPr>
          <w:rFonts w:ascii="Tahoma" w:hAnsi="Tahoma" w:cs="Tahoma"/>
          <w:color w:val="000000"/>
          <w:sz w:val="22"/>
          <w:szCs w:val="22"/>
        </w:rPr>
        <w:t>Asimismo, establec</w:t>
      </w:r>
      <w:r>
        <w:rPr>
          <w:rFonts w:ascii="Tahoma" w:hAnsi="Tahoma" w:cs="Tahoma"/>
          <w:color w:val="000000"/>
          <w:sz w:val="22"/>
          <w:szCs w:val="22"/>
        </w:rPr>
        <w:t>ía</w:t>
      </w:r>
      <w:r w:rsidRPr="002016AA">
        <w:rPr>
          <w:rFonts w:ascii="Tahoma" w:hAnsi="Tahoma" w:cs="Tahoma"/>
          <w:color w:val="000000"/>
          <w:sz w:val="22"/>
          <w:szCs w:val="22"/>
        </w:rPr>
        <w:t xml:space="preserve"> también que en el caso de qu</w:t>
      </w:r>
      <w:r>
        <w:rPr>
          <w:rFonts w:ascii="Tahoma" w:hAnsi="Tahoma" w:cs="Tahoma"/>
          <w:color w:val="000000"/>
          <w:sz w:val="22"/>
          <w:szCs w:val="22"/>
        </w:rPr>
        <w:t>e las entidades locales presentaran</w:t>
      </w:r>
      <w:r w:rsidRPr="002016AA">
        <w:rPr>
          <w:rFonts w:ascii="Tahoma" w:hAnsi="Tahoma" w:cs="Tahoma"/>
          <w:color w:val="000000"/>
          <w:sz w:val="22"/>
          <w:szCs w:val="22"/>
        </w:rPr>
        <w:t xml:space="preserve"> ahorro neto negativo o endeudamiento superior al 75% de sus ingresos corrientes liquidados en el ejercicio inmediato anterior, las corporaciones locales, mediante acuerdo de sus respectivos Plenos, deber</w:t>
      </w:r>
      <w:r>
        <w:rPr>
          <w:rFonts w:ascii="Tahoma" w:hAnsi="Tahoma" w:cs="Tahoma"/>
          <w:color w:val="000000"/>
          <w:sz w:val="22"/>
          <w:szCs w:val="22"/>
        </w:rPr>
        <w:t>ía</w:t>
      </w:r>
      <w:r w:rsidRPr="002016AA">
        <w:rPr>
          <w:rFonts w:ascii="Tahoma" w:hAnsi="Tahoma" w:cs="Tahoma"/>
          <w:color w:val="000000"/>
          <w:sz w:val="22"/>
          <w:szCs w:val="22"/>
        </w:rPr>
        <w:t>n aprobar un plan de saneamiento financiero o de reducción de deuda para corregir, en un plazo máximo de cinco años, el signo del ahorro neto o el volumen de endeudamiento, respectivamente.</w:t>
      </w:r>
    </w:p>
    <w:p w:rsidR="00B9049A" w:rsidRPr="002016AA" w:rsidRDefault="00B9049A" w:rsidP="00886D33">
      <w:pPr>
        <w:spacing w:before="100" w:beforeAutospacing="1" w:after="100" w:afterAutospacing="1" w:line="360" w:lineRule="auto"/>
        <w:jc w:val="both"/>
        <w:rPr>
          <w:rFonts w:ascii="Tahoma" w:hAnsi="Tahoma" w:cs="Tahoma"/>
          <w:color w:val="000000"/>
          <w:sz w:val="22"/>
          <w:szCs w:val="22"/>
        </w:rPr>
      </w:pPr>
      <w:r>
        <w:rPr>
          <w:rFonts w:ascii="Tahoma" w:hAnsi="Tahoma" w:cs="Tahoma"/>
          <w:color w:val="000000"/>
          <w:sz w:val="22"/>
          <w:szCs w:val="22"/>
        </w:rPr>
        <w:t>Estos planes debía</w:t>
      </w:r>
      <w:r w:rsidRPr="002016AA">
        <w:rPr>
          <w:rFonts w:ascii="Tahoma" w:hAnsi="Tahoma" w:cs="Tahoma"/>
          <w:color w:val="000000"/>
          <w:sz w:val="22"/>
          <w:szCs w:val="22"/>
        </w:rPr>
        <w:t>n comunicarse, para su aprobación, por las entidades locales al órgano competente del Ministerio de Hacienda y Administraciones Públicas.</w:t>
      </w:r>
    </w:p>
    <w:p w:rsidR="00B9049A" w:rsidRDefault="00B9049A" w:rsidP="00886D33">
      <w:pPr>
        <w:spacing w:before="100" w:beforeAutospacing="1" w:after="100" w:afterAutospacing="1" w:line="360" w:lineRule="auto"/>
        <w:jc w:val="both"/>
        <w:rPr>
          <w:rFonts w:ascii="Tahoma" w:hAnsi="Tahoma" w:cs="Tahoma"/>
          <w:color w:val="000000"/>
          <w:sz w:val="22"/>
          <w:szCs w:val="22"/>
        </w:rPr>
      </w:pPr>
      <w:r w:rsidRPr="002016AA">
        <w:rPr>
          <w:rFonts w:ascii="Tahoma" w:hAnsi="Tahoma" w:cs="Tahoma"/>
          <w:color w:val="000000"/>
          <w:sz w:val="22"/>
          <w:szCs w:val="22"/>
        </w:rPr>
        <w:t xml:space="preserve">El Interventor de la entidad local </w:t>
      </w:r>
      <w:r>
        <w:rPr>
          <w:rFonts w:ascii="Tahoma" w:hAnsi="Tahoma" w:cs="Tahoma"/>
          <w:color w:val="000000"/>
          <w:sz w:val="22"/>
          <w:szCs w:val="22"/>
        </w:rPr>
        <w:t>e</w:t>
      </w:r>
      <w:r w:rsidRPr="002016AA">
        <w:rPr>
          <w:rFonts w:ascii="Tahoma" w:hAnsi="Tahoma" w:cs="Tahoma"/>
          <w:color w:val="000000"/>
          <w:sz w:val="22"/>
          <w:szCs w:val="22"/>
        </w:rPr>
        <w:t>mitir</w:t>
      </w:r>
      <w:r>
        <w:rPr>
          <w:rFonts w:ascii="Tahoma" w:hAnsi="Tahoma" w:cs="Tahoma"/>
          <w:color w:val="000000"/>
          <w:sz w:val="22"/>
          <w:szCs w:val="22"/>
        </w:rPr>
        <w:t>ía un</w:t>
      </w:r>
      <w:r w:rsidRPr="002016AA">
        <w:rPr>
          <w:rFonts w:ascii="Tahoma" w:hAnsi="Tahoma" w:cs="Tahoma"/>
          <w:color w:val="000000"/>
          <w:sz w:val="22"/>
          <w:szCs w:val="22"/>
        </w:rPr>
        <w:t xml:space="preserve"> informe anual del cumplimiento de estos planes y </w:t>
      </w:r>
      <w:r>
        <w:rPr>
          <w:rFonts w:ascii="Tahoma" w:hAnsi="Tahoma" w:cs="Tahoma"/>
          <w:color w:val="000000"/>
          <w:sz w:val="22"/>
          <w:szCs w:val="22"/>
        </w:rPr>
        <w:t xml:space="preserve">lo </w:t>
      </w:r>
      <w:r w:rsidRPr="002016AA">
        <w:rPr>
          <w:rFonts w:ascii="Tahoma" w:hAnsi="Tahoma" w:cs="Tahoma"/>
          <w:color w:val="000000"/>
          <w:sz w:val="22"/>
          <w:szCs w:val="22"/>
        </w:rPr>
        <w:t>presentar</w:t>
      </w:r>
      <w:r>
        <w:rPr>
          <w:rFonts w:ascii="Tahoma" w:hAnsi="Tahoma" w:cs="Tahoma"/>
          <w:color w:val="000000"/>
          <w:sz w:val="22"/>
          <w:szCs w:val="22"/>
        </w:rPr>
        <w:t>ía</w:t>
      </w:r>
      <w:r w:rsidRPr="002016AA">
        <w:rPr>
          <w:rFonts w:ascii="Tahoma" w:hAnsi="Tahoma" w:cs="Tahoma"/>
          <w:color w:val="000000"/>
          <w:sz w:val="22"/>
          <w:szCs w:val="22"/>
        </w:rPr>
        <w:t xml:space="preserve"> al Pleno para su conocimiento y el correspondiente al último año de aquellos planes deber</w:t>
      </w:r>
      <w:r>
        <w:rPr>
          <w:rFonts w:ascii="Tahoma" w:hAnsi="Tahoma" w:cs="Tahoma"/>
          <w:color w:val="000000"/>
          <w:sz w:val="22"/>
          <w:szCs w:val="22"/>
        </w:rPr>
        <w:t>ía</w:t>
      </w:r>
      <w:r w:rsidRPr="002016AA">
        <w:rPr>
          <w:rFonts w:ascii="Tahoma" w:hAnsi="Tahoma" w:cs="Tahoma"/>
          <w:color w:val="000000"/>
          <w:sz w:val="22"/>
          <w:szCs w:val="22"/>
        </w:rPr>
        <w:t>, además, remitir</w:t>
      </w:r>
      <w:r>
        <w:rPr>
          <w:rFonts w:ascii="Tahoma" w:hAnsi="Tahoma" w:cs="Tahoma"/>
          <w:color w:val="000000"/>
          <w:sz w:val="22"/>
          <w:szCs w:val="22"/>
        </w:rPr>
        <w:t>lo</w:t>
      </w:r>
      <w:r w:rsidRPr="002016AA">
        <w:rPr>
          <w:rFonts w:ascii="Tahoma" w:hAnsi="Tahoma" w:cs="Tahoma"/>
          <w:color w:val="000000"/>
          <w:sz w:val="22"/>
          <w:szCs w:val="22"/>
        </w:rPr>
        <w:t xml:space="preserve"> al órgano competente de la Adm</w:t>
      </w:r>
      <w:r>
        <w:rPr>
          <w:rFonts w:ascii="Tahoma" w:hAnsi="Tahoma" w:cs="Tahoma"/>
          <w:color w:val="000000"/>
          <w:sz w:val="22"/>
          <w:szCs w:val="22"/>
        </w:rPr>
        <w:t>inistración</w:t>
      </w:r>
      <w:r w:rsidRPr="002016AA">
        <w:rPr>
          <w:rFonts w:ascii="Tahoma" w:hAnsi="Tahoma" w:cs="Tahoma"/>
          <w:color w:val="000000"/>
          <w:sz w:val="22"/>
          <w:szCs w:val="22"/>
        </w:rPr>
        <w:t xml:space="preserve"> Pública que tenga atribuida la tutela financiera de las entidades locales.</w:t>
      </w:r>
    </w:p>
    <w:p w:rsidR="00B9049A" w:rsidRPr="006B7DFB" w:rsidRDefault="00B9049A" w:rsidP="00886D33">
      <w:pPr>
        <w:spacing w:before="100" w:beforeAutospacing="1" w:after="100" w:afterAutospacing="1" w:line="360" w:lineRule="auto"/>
        <w:jc w:val="both"/>
        <w:rPr>
          <w:rFonts w:ascii="Tahoma" w:hAnsi="Tahoma" w:cs="Tahoma"/>
          <w:color w:val="000000"/>
          <w:sz w:val="22"/>
          <w:szCs w:val="22"/>
        </w:rPr>
      </w:pPr>
      <w:r w:rsidRPr="002016AA">
        <w:rPr>
          <w:rFonts w:ascii="Tahoma" w:hAnsi="Tahoma" w:cs="Tahoma"/>
          <w:color w:val="000000"/>
          <w:sz w:val="22"/>
          <w:szCs w:val="22"/>
        </w:rPr>
        <w:t>En el caso de que se produj</w:t>
      </w:r>
      <w:r>
        <w:rPr>
          <w:rFonts w:ascii="Tahoma" w:hAnsi="Tahoma" w:cs="Tahoma"/>
          <w:color w:val="000000"/>
          <w:sz w:val="22"/>
          <w:szCs w:val="22"/>
        </w:rPr>
        <w:t>era</w:t>
      </w:r>
      <w:r w:rsidRPr="002016AA">
        <w:rPr>
          <w:rFonts w:ascii="Tahoma" w:hAnsi="Tahoma" w:cs="Tahoma"/>
          <w:color w:val="000000"/>
          <w:sz w:val="22"/>
          <w:szCs w:val="22"/>
        </w:rPr>
        <w:t xml:space="preserve"> un incumplimiento de los citados planes, la entidad local no podr</w:t>
      </w:r>
      <w:r>
        <w:rPr>
          <w:rFonts w:ascii="Tahoma" w:hAnsi="Tahoma" w:cs="Tahoma"/>
          <w:color w:val="000000"/>
          <w:sz w:val="22"/>
          <w:szCs w:val="22"/>
        </w:rPr>
        <w:t>ía</w:t>
      </w:r>
      <w:r w:rsidRPr="002016AA">
        <w:rPr>
          <w:rFonts w:ascii="Tahoma" w:hAnsi="Tahoma" w:cs="Tahoma"/>
          <w:color w:val="000000"/>
          <w:sz w:val="22"/>
          <w:szCs w:val="22"/>
        </w:rPr>
        <w:t xml:space="preserve"> concertar operaciones de endeudamiento a largo plazo para financiar cualquier modalidad de inversión.</w:t>
      </w:r>
      <w:r>
        <w:rPr>
          <w:rFonts w:ascii="Tahoma" w:hAnsi="Tahoma" w:cs="Tahoma"/>
          <w:color w:val="000000"/>
          <w:sz w:val="22"/>
          <w:szCs w:val="22"/>
        </w:rPr>
        <w:t xml:space="preserve"> </w:t>
      </w:r>
      <w:r w:rsidRPr="006B7DFB">
        <w:rPr>
          <w:rFonts w:ascii="Tahoma" w:hAnsi="Tahoma" w:cs="Tahoma"/>
          <w:color w:val="000000"/>
          <w:sz w:val="22"/>
          <w:szCs w:val="22"/>
        </w:rPr>
        <w:t>Además, por parte del órgano competente de la Administración Pública que tenga atribuida la tutela financiera de las entidades locales se podrían proponer medidas extraordinarias que deberían adoptar las entidades locales afectadas. En el caso de que por éstas no se adoptaran se podrían aplicar las medidas coercitivas y de cumplimiento forzoso establecidas en los artículos 25 y 26  de la Ley Orgánica 2/2012, de 27 de abril, de Estabilidad Presupuestaria y Sostenibilidad Financiera.</w:t>
      </w:r>
    </w:p>
    <w:p w:rsidR="00B9049A" w:rsidRDefault="00B9049A" w:rsidP="00EC5A60">
      <w:pPr>
        <w:autoSpaceDE w:val="0"/>
        <w:autoSpaceDN w:val="0"/>
        <w:adjustRightInd w:val="0"/>
        <w:spacing w:after="200" w:line="360" w:lineRule="auto"/>
        <w:jc w:val="both"/>
        <w:rPr>
          <w:rFonts w:ascii="Tahoma" w:hAnsi="Tahoma" w:cs="Tahoma"/>
          <w:color w:val="000000"/>
          <w:sz w:val="22"/>
          <w:szCs w:val="22"/>
        </w:rPr>
      </w:pPr>
      <w:r w:rsidRPr="00966D86">
        <w:rPr>
          <w:rFonts w:ascii="Tahoma" w:hAnsi="Tahoma" w:cs="Tahoma"/>
          <w:color w:val="000000"/>
          <w:sz w:val="22"/>
          <w:szCs w:val="22"/>
        </w:rPr>
        <w:t xml:space="preserve">Adicionalmente a estos requisitos exigidos a las corporaciones locales para recurrir al endeudamiento, la disposición final 1.1 del RDL 17/2014 añade al TRLRHL, el artículo 48 bis, que señala en su apartado 1 que todas las operaciones financieras que suscriban las Corporaciones </w:t>
      </w:r>
      <w:r w:rsidRPr="00966D86">
        <w:rPr>
          <w:rFonts w:ascii="Tahoma" w:hAnsi="Tahoma" w:cs="Tahoma"/>
          <w:color w:val="000000"/>
          <w:sz w:val="22"/>
          <w:szCs w:val="22"/>
        </w:rPr>
        <w:lastRenderedPageBreak/>
        <w:t>Locales están sujetas al principio de prudencia financiera</w:t>
      </w:r>
      <w:r>
        <w:rPr>
          <w:rFonts w:ascii="Tahoma" w:hAnsi="Tahoma" w:cs="Tahoma"/>
          <w:color w:val="000000"/>
          <w:sz w:val="22"/>
          <w:szCs w:val="22"/>
        </w:rPr>
        <w:t>,</w:t>
      </w:r>
      <w:r w:rsidRPr="00966D86">
        <w:rPr>
          <w:rFonts w:ascii="Tahoma" w:hAnsi="Tahoma" w:cs="Tahoma"/>
          <w:color w:val="000000"/>
          <w:sz w:val="22"/>
          <w:szCs w:val="22"/>
        </w:rPr>
        <w:t xml:space="preserve"> </w:t>
      </w:r>
      <w:r>
        <w:rPr>
          <w:rFonts w:ascii="Tahoma" w:hAnsi="Tahoma" w:cs="Tahoma"/>
          <w:color w:val="000000"/>
          <w:sz w:val="22"/>
          <w:szCs w:val="22"/>
        </w:rPr>
        <w:t>ent</w:t>
      </w:r>
      <w:r w:rsidRPr="00966D86">
        <w:rPr>
          <w:rFonts w:ascii="Tahoma" w:hAnsi="Tahoma" w:cs="Tahoma"/>
          <w:color w:val="000000"/>
          <w:sz w:val="22"/>
          <w:szCs w:val="22"/>
        </w:rPr>
        <w:t>end</w:t>
      </w:r>
      <w:r>
        <w:rPr>
          <w:rFonts w:ascii="Tahoma" w:hAnsi="Tahoma" w:cs="Tahoma"/>
          <w:color w:val="000000"/>
          <w:sz w:val="22"/>
          <w:szCs w:val="22"/>
        </w:rPr>
        <w:t>iéndose</w:t>
      </w:r>
      <w:r w:rsidRPr="00966D86">
        <w:rPr>
          <w:rFonts w:ascii="Tahoma" w:hAnsi="Tahoma" w:cs="Tahoma"/>
          <w:color w:val="000000"/>
          <w:sz w:val="22"/>
          <w:szCs w:val="22"/>
        </w:rPr>
        <w:t xml:space="preserve"> por </w:t>
      </w:r>
      <w:r w:rsidRPr="00966D86">
        <w:rPr>
          <w:rFonts w:ascii="Tahoma" w:hAnsi="Tahoma" w:cs="Tahoma"/>
          <w:b/>
          <w:bCs/>
          <w:color w:val="000000"/>
          <w:sz w:val="22"/>
          <w:szCs w:val="22"/>
        </w:rPr>
        <w:t>prudencia financiera el conjunto de condiciones que deben cumplir las operaciones financieras para minimizar su riesgo y coste.</w:t>
      </w:r>
      <w:r w:rsidRPr="00966D86">
        <w:rPr>
          <w:rFonts w:ascii="Tahoma" w:hAnsi="Tahoma" w:cs="Tahoma"/>
          <w:color w:val="000000"/>
          <w:sz w:val="22"/>
          <w:szCs w:val="22"/>
        </w:rPr>
        <w:t xml:space="preserve"> Asimismo, en el apartado 3, se establece que las condiciones que deben cumplir las operaciones financieras previstas en la letra b), que se refiere a los pasivos financieros y es donde figuran las operaciones de crédito, se establecerán por Resolución de la Secretaría General del Tesoro y Política Financiera y las condiciones que deben cumplir las operaciones llamadas Activos Financieros y Concesión de Avales</w:t>
      </w:r>
      <w:r>
        <w:rPr>
          <w:rFonts w:ascii="Tahoma" w:hAnsi="Tahoma" w:cs="Tahoma"/>
          <w:color w:val="000000"/>
          <w:sz w:val="22"/>
          <w:szCs w:val="22"/>
        </w:rPr>
        <w:t>,</w:t>
      </w:r>
      <w:r w:rsidRPr="00966D86">
        <w:rPr>
          <w:rFonts w:ascii="Tahoma" w:hAnsi="Tahoma" w:cs="Tahoma"/>
          <w:color w:val="000000"/>
          <w:sz w:val="22"/>
          <w:szCs w:val="22"/>
        </w:rPr>
        <w:t xml:space="preserve"> </w:t>
      </w:r>
      <w:proofErr w:type="spellStart"/>
      <w:r w:rsidRPr="00966D86">
        <w:rPr>
          <w:rFonts w:ascii="Tahoma" w:hAnsi="Tahoma" w:cs="Tahoma"/>
          <w:color w:val="000000"/>
          <w:sz w:val="22"/>
          <w:szCs w:val="22"/>
        </w:rPr>
        <w:t>reavales</w:t>
      </w:r>
      <w:proofErr w:type="spellEnd"/>
      <w:r w:rsidRPr="00966D86">
        <w:rPr>
          <w:rFonts w:ascii="Tahoma" w:hAnsi="Tahoma" w:cs="Tahoma"/>
          <w:color w:val="000000"/>
          <w:sz w:val="22"/>
          <w:szCs w:val="22"/>
        </w:rPr>
        <w:t xml:space="preserve"> y otras garantías públicas por Resolución de la Secretaría General de Coordinación Autonómica y Local.</w:t>
      </w:r>
    </w:p>
    <w:p w:rsidR="00B9049A" w:rsidRDefault="00B9049A" w:rsidP="003723D0">
      <w:pPr>
        <w:autoSpaceDE w:val="0"/>
        <w:autoSpaceDN w:val="0"/>
        <w:adjustRightInd w:val="0"/>
        <w:spacing w:line="360" w:lineRule="auto"/>
        <w:jc w:val="both"/>
        <w:rPr>
          <w:rFonts w:ascii="Tahoma" w:hAnsi="Tahoma" w:cs="Tahoma"/>
          <w:color w:val="000000"/>
          <w:sz w:val="22"/>
          <w:szCs w:val="22"/>
        </w:rPr>
      </w:pPr>
      <w:r w:rsidRPr="00A87617">
        <w:rPr>
          <w:rFonts w:ascii="Tahoma" w:hAnsi="Tahoma" w:cs="Tahoma"/>
          <w:color w:val="000000"/>
          <w:sz w:val="22"/>
          <w:szCs w:val="22"/>
        </w:rPr>
        <w:t>Por su parte el principio de prudencia financiera aplicable a las operaciones de endeudamiento de las Comunidades Autónomas y Entidades Locales se definió teniendo en cuenta el principio de sostenibilidad de las finanzas públicas establecido en el artículo 4 de la Ley Orgánica 2/2012, de 27 de abril, de Estabilidad Presupuestaria y Sostenibilidad Financiera, que vela por la capacidad de las</w:t>
      </w:r>
      <w:r w:rsidRPr="008F6779">
        <w:rPr>
          <w:rFonts w:ascii="Tahoma" w:hAnsi="Tahoma" w:cs="Tahoma"/>
          <w:color w:val="FF0000"/>
          <w:sz w:val="22"/>
          <w:szCs w:val="22"/>
        </w:rPr>
        <w:t xml:space="preserve"> </w:t>
      </w:r>
      <w:r w:rsidRPr="003A3EA0">
        <w:rPr>
          <w:rFonts w:ascii="Tahoma" w:hAnsi="Tahoma" w:cs="Tahoma"/>
          <w:color w:val="000000"/>
          <w:sz w:val="22"/>
          <w:szCs w:val="22"/>
        </w:rPr>
        <w:t>Administraciones Públicas para financiar sus compromisos de gasto presentes y futuros dentro de los límites de déficit, deuda pública y morosidad de deuda comercial.</w:t>
      </w:r>
    </w:p>
    <w:p w:rsidR="00B9049A" w:rsidRPr="003A3EA0" w:rsidRDefault="00B9049A" w:rsidP="003723D0">
      <w:pPr>
        <w:autoSpaceDE w:val="0"/>
        <w:autoSpaceDN w:val="0"/>
        <w:adjustRightInd w:val="0"/>
        <w:spacing w:line="360" w:lineRule="auto"/>
        <w:jc w:val="both"/>
        <w:rPr>
          <w:rFonts w:ascii="Tahoma" w:hAnsi="Tahoma" w:cs="Tahoma"/>
          <w:color w:val="000000"/>
          <w:sz w:val="22"/>
          <w:szCs w:val="22"/>
        </w:rPr>
      </w:pPr>
    </w:p>
    <w:p w:rsidR="00B9049A" w:rsidRDefault="00B9049A" w:rsidP="00990F7A">
      <w:pPr>
        <w:pStyle w:val="Default"/>
        <w:spacing w:line="360" w:lineRule="auto"/>
        <w:jc w:val="both"/>
        <w:rPr>
          <w:rFonts w:ascii="Tahoma" w:hAnsi="Tahoma" w:cs="Tahoma"/>
          <w:sz w:val="22"/>
          <w:szCs w:val="22"/>
        </w:rPr>
      </w:pPr>
      <w:r w:rsidRPr="00A87617">
        <w:rPr>
          <w:rFonts w:ascii="Tahoma" w:hAnsi="Tahoma" w:cs="Tahoma"/>
          <w:sz w:val="22"/>
          <w:szCs w:val="22"/>
        </w:rPr>
        <w:t xml:space="preserve">En este sentido, hay que tener en cuenta dentro de este marco jurídico que todas las operaciones financieras que suscriban las Corporaciones Locales están sujetas al principio de prudencia financiera en los términos recogidos por la Resolución de </w:t>
      </w:r>
      <w:r w:rsidRPr="00990F7A">
        <w:rPr>
          <w:rFonts w:ascii="Tahoma" w:hAnsi="Tahoma" w:cs="Tahoma"/>
          <w:sz w:val="22"/>
          <w:szCs w:val="22"/>
        </w:rPr>
        <w:t>4 de julio de 2017</w:t>
      </w:r>
      <w:r>
        <w:rPr>
          <w:rFonts w:ascii="Tahoma" w:hAnsi="Tahoma" w:cs="Tahoma"/>
          <w:sz w:val="22"/>
          <w:szCs w:val="22"/>
        </w:rPr>
        <w:t xml:space="preserve">, que deroga la Resolución de </w:t>
      </w:r>
      <w:r w:rsidRPr="00A87617">
        <w:rPr>
          <w:rFonts w:ascii="Tahoma" w:hAnsi="Tahoma" w:cs="Tahoma"/>
          <w:sz w:val="22"/>
          <w:szCs w:val="22"/>
        </w:rPr>
        <w:t>16 de septiembre de 2016, de la Secretaría General del Tesoro y Política Financiera, por la que se define el principio de prudencia financiera aplicable a las operaciones de endeudamiento y derivados de las comunidades autónomas y entidades locales.</w:t>
      </w:r>
      <w:r>
        <w:rPr>
          <w:rFonts w:ascii="Tahoma" w:hAnsi="Tahoma" w:cs="Tahoma"/>
          <w:sz w:val="22"/>
          <w:szCs w:val="22"/>
        </w:rPr>
        <w:t xml:space="preserve"> </w:t>
      </w:r>
    </w:p>
    <w:p w:rsidR="00B9049A" w:rsidRDefault="00B9049A" w:rsidP="00990F7A">
      <w:pPr>
        <w:pStyle w:val="Default"/>
      </w:pPr>
    </w:p>
    <w:p w:rsidR="00B9049A" w:rsidRPr="003A3EA0" w:rsidRDefault="00B9049A" w:rsidP="00990F7A">
      <w:pPr>
        <w:spacing w:after="120" w:line="360" w:lineRule="auto"/>
        <w:jc w:val="both"/>
        <w:rPr>
          <w:rFonts w:ascii="Tahoma" w:hAnsi="Tahoma" w:cs="Tahoma"/>
          <w:color w:val="000000"/>
          <w:sz w:val="22"/>
          <w:szCs w:val="22"/>
        </w:rPr>
      </w:pPr>
      <w:r>
        <w:t xml:space="preserve"> </w:t>
      </w:r>
      <w:r w:rsidRPr="003A3EA0">
        <w:rPr>
          <w:rFonts w:ascii="Tahoma" w:hAnsi="Tahoma" w:cs="Tahoma"/>
          <w:color w:val="000000"/>
          <w:sz w:val="22"/>
          <w:szCs w:val="22"/>
        </w:rPr>
        <w:t xml:space="preserve">Así en dicha Resolución, se establece que el coste total máximo para las operaciones de préstamo, incluyendo comisiones y otros gastos, no podrá superar el coste de financiación del Estado al plazo medio de la operación, incrementado en el diferencial que corresponda según el Anexo 3 (para las entidades locales se establecen </w:t>
      </w:r>
      <w:r>
        <w:rPr>
          <w:rFonts w:ascii="Tahoma" w:hAnsi="Tahoma" w:cs="Tahoma"/>
          <w:color w:val="000000"/>
          <w:sz w:val="22"/>
          <w:szCs w:val="22"/>
        </w:rPr>
        <w:t>5</w:t>
      </w:r>
      <w:r w:rsidRPr="003A3EA0">
        <w:rPr>
          <w:rFonts w:ascii="Tahoma" w:hAnsi="Tahoma" w:cs="Tahoma"/>
          <w:color w:val="000000"/>
          <w:sz w:val="22"/>
          <w:szCs w:val="22"/>
        </w:rPr>
        <w:t xml:space="preserve">0 ó 75 puntos básicos dependiendo de que cumplan unos requisitos u otros) y que estarán en vigor mientras no se publiquen nuevos costes. De esta manera, la Secretaría General del Tesoro y Política Financiera publica mensualmente los tipos fijos máximos o diferenciales máximos sobre </w:t>
      </w:r>
      <w:proofErr w:type="spellStart"/>
      <w:r w:rsidRPr="003A3EA0">
        <w:rPr>
          <w:rFonts w:ascii="Tahoma" w:hAnsi="Tahoma" w:cs="Tahoma"/>
          <w:color w:val="000000"/>
          <w:sz w:val="22"/>
          <w:szCs w:val="22"/>
        </w:rPr>
        <w:t>euríbor</w:t>
      </w:r>
      <w:proofErr w:type="spellEnd"/>
      <w:r w:rsidRPr="003A3EA0">
        <w:rPr>
          <w:rFonts w:ascii="Tahoma" w:hAnsi="Tahoma" w:cs="Tahoma"/>
          <w:color w:val="000000"/>
          <w:sz w:val="22"/>
          <w:szCs w:val="22"/>
        </w:rPr>
        <w:t xml:space="preserve"> 1, 3, 6 y 12 meses según la vida media en meses de la operación al que las entidades locales se pueden endeudar.</w:t>
      </w:r>
    </w:p>
    <w:p w:rsidR="00B9049A" w:rsidRDefault="00B9049A" w:rsidP="00151156">
      <w:pPr>
        <w:spacing w:before="100" w:beforeAutospacing="1" w:after="100" w:afterAutospacing="1" w:line="360" w:lineRule="auto"/>
        <w:jc w:val="both"/>
        <w:rPr>
          <w:rFonts w:ascii="Tahoma" w:hAnsi="Tahoma" w:cs="Tahoma"/>
          <w:color w:val="000000"/>
          <w:sz w:val="22"/>
          <w:szCs w:val="22"/>
        </w:rPr>
      </w:pPr>
      <w:r>
        <w:rPr>
          <w:rFonts w:ascii="Tahoma" w:hAnsi="Tahoma" w:cs="Tahoma"/>
          <w:bCs/>
          <w:color w:val="000000"/>
          <w:sz w:val="22"/>
          <w:szCs w:val="22"/>
        </w:rPr>
        <w:t>En</w:t>
      </w:r>
      <w:r w:rsidRPr="0046556E">
        <w:rPr>
          <w:rFonts w:ascii="Tahoma" w:hAnsi="Tahoma" w:cs="Tahoma"/>
          <w:bCs/>
          <w:color w:val="000000"/>
          <w:sz w:val="22"/>
          <w:szCs w:val="22"/>
        </w:rPr>
        <w:t xml:space="preserve"> 2016</w:t>
      </w:r>
      <w:r>
        <w:rPr>
          <w:rFonts w:ascii="Tahoma" w:hAnsi="Tahoma" w:cs="Tahoma"/>
          <w:bCs/>
          <w:color w:val="000000"/>
          <w:sz w:val="22"/>
          <w:szCs w:val="22"/>
        </w:rPr>
        <w:t xml:space="preserve"> s</w:t>
      </w:r>
      <w:r w:rsidRPr="000521E5">
        <w:rPr>
          <w:rFonts w:ascii="Tahoma" w:hAnsi="Tahoma" w:cs="Tahoma"/>
          <w:color w:val="000000"/>
          <w:sz w:val="22"/>
          <w:szCs w:val="22"/>
        </w:rPr>
        <w:t xml:space="preserve">e mantiene la Disposición final trigésima primera sin ningún cambio respecto a ejercicios anteriores. Es decir, para concertar nuevas operaciones de préstamo a largo plazo para la financiación de inversiones se requiere tener </w:t>
      </w:r>
      <w:r w:rsidRPr="000521E5">
        <w:rPr>
          <w:rFonts w:ascii="Tahoma" w:hAnsi="Tahoma" w:cs="Tahoma"/>
          <w:b/>
          <w:bCs/>
          <w:color w:val="000000"/>
          <w:sz w:val="22"/>
          <w:szCs w:val="22"/>
        </w:rPr>
        <w:t>el ejercicio inmediato anterior liquidado con ahorro neto positivo y deuda viva menor a 75 por 100</w:t>
      </w:r>
      <w:r>
        <w:rPr>
          <w:rFonts w:ascii="Tahoma" w:hAnsi="Tahoma" w:cs="Tahoma"/>
          <w:b/>
          <w:bCs/>
          <w:color w:val="000000"/>
          <w:sz w:val="22"/>
          <w:szCs w:val="22"/>
        </w:rPr>
        <w:t xml:space="preserve"> </w:t>
      </w:r>
      <w:r w:rsidRPr="000521E5">
        <w:rPr>
          <w:rFonts w:ascii="Tahoma" w:hAnsi="Tahoma" w:cs="Tahoma"/>
          <w:b/>
          <w:bCs/>
          <w:color w:val="000000"/>
          <w:sz w:val="22"/>
          <w:szCs w:val="22"/>
        </w:rPr>
        <w:t xml:space="preserve">de los ingresos corrientes </w:t>
      </w:r>
      <w:r w:rsidRPr="000521E5">
        <w:rPr>
          <w:rFonts w:ascii="Tahoma" w:hAnsi="Tahoma" w:cs="Tahoma"/>
          <w:b/>
          <w:bCs/>
          <w:color w:val="000000"/>
          <w:sz w:val="22"/>
          <w:szCs w:val="22"/>
        </w:rPr>
        <w:lastRenderedPageBreak/>
        <w:t xml:space="preserve">liquidados consolidados, incluida la operación proyectada, para no requerir autorización del Ministerio o con autorización si la deuda viva es superior al 75 por 100, sin superar eso sí, el 110 por 100. En caso de Ahorro neto negativo no se podrán concertar operaciones de préstamo en ningún caso. </w:t>
      </w:r>
      <w:r w:rsidRPr="000521E5">
        <w:rPr>
          <w:rFonts w:ascii="Tahoma" w:hAnsi="Tahoma" w:cs="Tahoma"/>
          <w:color w:val="000000"/>
          <w:sz w:val="22"/>
          <w:szCs w:val="22"/>
        </w:rPr>
        <w:t>Estas operaciones tal y como recoge el artículo 48 bis del TRLRHL están sujetas al principio de prudencia financiera.</w:t>
      </w:r>
    </w:p>
    <w:p w:rsidR="00B9049A" w:rsidRPr="000521E5" w:rsidRDefault="00B9049A" w:rsidP="00151156">
      <w:pPr>
        <w:spacing w:before="100" w:beforeAutospacing="1" w:after="100" w:afterAutospacing="1" w:line="360" w:lineRule="auto"/>
        <w:jc w:val="both"/>
        <w:rPr>
          <w:rFonts w:ascii="Tahoma" w:hAnsi="Tahoma" w:cs="Tahoma"/>
          <w:color w:val="000000"/>
          <w:sz w:val="22"/>
          <w:szCs w:val="22"/>
        </w:rPr>
      </w:pPr>
      <w:r>
        <w:rPr>
          <w:rFonts w:ascii="Tahoma" w:hAnsi="Tahoma" w:cs="Tahoma"/>
          <w:color w:val="000000"/>
          <w:sz w:val="22"/>
          <w:szCs w:val="22"/>
        </w:rPr>
        <w:t>Por su parte,</w:t>
      </w:r>
      <w:r w:rsidRPr="00C070E7">
        <w:rPr>
          <w:rFonts w:ascii="Tahoma" w:hAnsi="Tahoma" w:cs="Tahoma"/>
          <w:color w:val="000000"/>
          <w:sz w:val="22"/>
          <w:szCs w:val="22"/>
        </w:rPr>
        <w:t xml:space="preserve"> la Ley de Presupuestos Generales del Estado, Ley 48/2015, de 29 de octubre, en materia de endeudamiento de las corporaciones locales </w:t>
      </w:r>
      <w:r>
        <w:rPr>
          <w:rFonts w:ascii="Tahoma" w:hAnsi="Tahoma" w:cs="Tahoma"/>
          <w:color w:val="000000"/>
          <w:sz w:val="22"/>
          <w:szCs w:val="22"/>
        </w:rPr>
        <w:t>n</w:t>
      </w:r>
      <w:r w:rsidRPr="000521E5">
        <w:rPr>
          <w:rFonts w:ascii="Tahoma" w:hAnsi="Tahoma" w:cs="Tahoma"/>
          <w:color w:val="000000"/>
          <w:sz w:val="22"/>
          <w:szCs w:val="22"/>
        </w:rPr>
        <w:t>o prorrog</w:t>
      </w:r>
      <w:r>
        <w:rPr>
          <w:rFonts w:ascii="Tahoma" w:hAnsi="Tahoma" w:cs="Tahoma"/>
          <w:color w:val="000000"/>
          <w:sz w:val="22"/>
          <w:szCs w:val="22"/>
        </w:rPr>
        <w:t>ó</w:t>
      </w:r>
      <w:r w:rsidRPr="000521E5">
        <w:rPr>
          <w:rFonts w:ascii="Tahoma" w:hAnsi="Tahoma" w:cs="Tahoma"/>
          <w:color w:val="000000"/>
          <w:sz w:val="22"/>
          <w:szCs w:val="22"/>
        </w:rPr>
        <w:t xml:space="preserve"> la limitación de refinanciar sólo operaciones de crédito a largo plazo concertadas con anterioridad al RDL 4/2012. Por tanto, se entiende que, según establece el TRLRHL, en el artículo 49.2 se puede llevar a cabo la conversión o sustitución total o parcial de operaciones preexistentes cumpliendo siempre con el principio de prudencia financiera.</w:t>
      </w:r>
    </w:p>
    <w:p w:rsidR="00B9049A" w:rsidRPr="00B4683D" w:rsidRDefault="00B9049A" w:rsidP="00151156">
      <w:pPr>
        <w:widowControl w:val="0"/>
        <w:overflowPunct w:val="0"/>
        <w:autoSpaceDE w:val="0"/>
        <w:autoSpaceDN w:val="0"/>
        <w:adjustRightInd w:val="0"/>
        <w:spacing w:line="360" w:lineRule="auto"/>
        <w:ind w:right="10"/>
        <w:jc w:val="both"/>
        <w:rPr>
          <w:rFonts w:ascii="Tahoma" w:hAnsi="Tahoma" w:cs="Tahoma"/>
          <w:color w:val="000000"/>
          <w:sz w:val="22"/>
          <w:szCs w:val="22"/>
        </w:rPr>
      </w:pPr>
      <w:r w:rsidRPr="00B4683D">
        <w:rPr>
          <w:rFonts w:ascii="Tahoma" w:hAnsi="Tahoma" w:cs="Tahoma"/>
          <w:color w:val="000000"/>
          <w:sz w:val="22"/>
          <w:szCs w:val="22"/>
        </w:rPr>
        <w:t>En 2017, la legislación en materia de financiación de inversiones y de sustitución de operaciones preexistentes ha continuado vigente en los términos referidos.</w:t>
      </w:r>
    </w:p>
    <w:p w:rsidR="00B9049A" w:rsidRDefault="00B9049A" w:rsidP="00151156">
      <w:pPr>
        <w:widowControl w:val="0"/>
        <w:overflowPunct w:val="0"/>
        <w:autoSpaceDE w:val="0"/>
        <w:autoSpaceDN w:val="0"/>
        <w:adjustRightInd w:val="0"/>
        <w:spacing w:line="360" w:lineRule="auto"/>
        <w:ind w:right="10"/>
        <w:jc w:val="both"/>
        <w:rPr>
          <w:rFonts w:ascii="Tahoma" w:hAnsi="Tahoma" w:cs="Tahoma"/>
          <w:color w:val="000000"/>
          <w:sz w:val="22"/>
          <w:szCs w:val="22"/>
        </w:rPr>
      </w:pPr>
    </w:p>
    <w:p w:rsidR="00B9049A" w:rsidRPr="00A87617" w:rsidRDefault="00B9049A" w:rsidP="00151156">
      <w:pPr>
        <w:widowControl w:val="0"/>
        <w:overflowPunct w:val="0"/>
        <w:autoSpaceDE w:val="0"/>
        <w:autoSpaceDN w:val="0"/>
        <w:adjustRightInd w:val="0"/>
        <w:spacing w:line="360" w:lineRule="auto"/>
        <w:ind w:right="10"/>
        <w:jc w:val="both"/>
        <w:rPr>
          <w:rFonts w:ascii="Tahoma" w:hAnsi="Tahoma" w:cs="Tahoma"/>
          <w:color w:val="000000"/>
          <w:sz w:val="22"/>
          <w:szCs w:val="22"/>
        </w:rPr>
      </w:pPr>
      <w:r w:rsidRPr="00A87617">
        <w:rPr>
          <w:rFonts w:ascii="Tahoma" w:hAnsi="Tahoma" w:cs="Tahoma"/>
          <w:color w:val="000000"/>
          <w:sz w:val="22"/>
          <w:szCs w:val="22"/>
        </w:rPr>
        <w:t xml:space="preserve">En cuanto a la </w:t>
      </w:r>
      <w:r w:rsidRPr="00A87617">
        <w:rPr>
          <w:rFonts w:ascii="Tahoma" w:hAnsi="Tahoma" w:cs="Tahoma"/>
          <w:b/>
          <w:color w:val="000000"/>
          <w:sz w:val="22"/>
          <w:szCs w:val="22"/>
        </w:rPr>
        <w:t>regulación de endeudamiento para 201</w:t>
      </w:r>
      <w:r>
        <w:rPr>
          <w:rFonts w:ascii="Tahoma" w:hAnsi="Tahoma" w:cs="Tahoma"/>
          <w:b/>
          <w:color w:val="000000"/>
          <w:sz w:val="22"/>
          <w:szCs w:val="22"/>
        </w:rPr>
        <w:t>8</w:t>
      </w:r>
      <w:r w:rsidRPr="00A87617">
        <w:rPr>
          <w:rFonts w:ascii="Tahoma" w:hAnsi="Tahoma" w:cs="Tahoma"/>
          <w:color w:val="000000"/>
          <w:sz w:val="22"/>
          <w:szCs w:val="22"/>
        </w:rPr>
        <w:t>, dada la situación actual en la que no existe Proyecto de Ley de Presupuestos Generales del Estado para dicho ejercicio, en principio se mantiene la misma normativa que para 201</w:t>
      </w:r>
      <w:r>
        <w:rPr>
          <w:rFonts w:ascii="Tahoma" w:hAnsi="Tahoma" w:cs="Tahoma"/>
          <w:color w:val="000000"/>
          <w:sz w:val="22"/>
          <w:szCs w:val="22"/>
        </w:rPr>
        <w:t>7</w:t>
      </w:r>
      <w:r w:rsidRPr="00A87617">
        <w:rPr>
          <w:rFonts w:ascii="Tahoma" w:hAnsi="Tahoma" w:cs="Tahoma"/>
          <w:color w:val="000000"/>
          <w:sz w:val="22"/>
          <w:szCs w:val="22"/>
        </w:rPr>
        <w:t xml:space="preserve">. </w:t>
      </w:r>
    </w:p>
    <w:p w:rsidR="00B9049A" w:rsidRPr="000521E5" w:rsidRDefault="00B9049A" w:rsidP="00132E11">
      <w:pPr>
        <w:autoSpaceDE w:val="0"/>
        <w:autoSpaceDN w:val="0"/>
        <w:adjustRightInd w:val="0"/>
        <w:spacing w:line="360" w:lineRule="auto"/>
        <w:jc w:val="both"/>
        <w:rPr>
          <w:rFonts w:ascii="Tahoma" w:hAnsi="Tahoma" w:cs="Tahoma"/>
          <w:color w:val="000000"/>
          <w:sz w:val="22"/>
          <w:szCs w:val="22"/>
        </w:rPr>
      </w:pPr>
    </w:p>
    <w:p w:rsidR="00B9049A" w:rsidRPr="006F2657" w:rsidRDefault="00B9049A" w:rsidP="00704286">
      <w:pPr>
        <w:autoSpaceDE w:val="0"/>
        <w:autoSpaceDN w:val="0"/>
        <w:adjustRightInd w:val="0"/>
        <w:spacing w:line="360" w:lineRule="auto"/>
        <w:jc w:val="both"/>
        <w:rPr>
          <w:rFonts w:ascii="Tahoma" w:hAnsi="Tahoma" w:cs="Tahoma"/>
          <w:color w:val="000000"/>
          <w:sz w:val="22"/>
          <w:szCs w:val="22"/>
        </w:rPr>
      </w:pPr>
      <w:r w:rsidRPr="006F2657">
        <w:rPr>
          <w:rFonts w:ascii="Tahoma" w:hAnsi="Tahoma" w:cs="Tahoma"/>
          <w:color w:val="000000"/>
          <w:sz w:val="22"/>
          <w:szCs w:val="22"/>
        </w:rPr>
        <w:t>Hay que tener en cuenta que estas modificaciones en materia de endeudamiento de las entidades locales a través de las Leyes de Presupuestos Generales del Estado y del TRLRHL (sujeción al principio de prudencia financiera) se han producido como consecuencia de la modificación del artículo 135 de la Constitución Española que establece que todas las Administraciones Públicas adecuarán sus actuaciones al principio de estabilidad presupuestaria y precisa que las Entidades Locales deberán presentar equilibrio presupuestario; asimismo determina la obligación de desarrollar el contenido de dicho artículo en una Ley Orgánica antes de 30 de junio de 2012, de modo que la aprobación de la Ley Orgánica 2/2012, de 27 de abril, de Estabilidad Presupuestaria y Sostenibilidad Financiera (LOEPSF) dictada en su desarrollo y que entró en vigor el 1 de mayo de 2012, dio cumplimiento a dicho mandato constitucional, afectando también, entre otros aspectos al endeudamiento de las entidades locales, añadiendo nuevos requisitos.</w:t>
      </w:r>
    </w:p>
    <w:p w:rsidR="00B9049A" w:rsidRDefault="00B9049A" w:rsidP="00974258">
      <w:pPr>
        <w:autoSpaceDE w:val="0"/>
        <w:autoSpaceDN w:val="0"/>
        <w:adjustRightInd w:val="0"/>
        <w:spacing w:line="360" w:lineRule="auto"/>
        <w:jc w:val="both"/>
        <w:rPr>
          <w:rFonts w:ascii="Tahoma" w:hAnsi="Tahoma" w:cs="Tahoma"/>
          <w:color w:val="FF0000"/>
          <w:sz w:val="22"/>
          <w:szCs w:val="22"/>
        </w:rPr>
      </w:pPr>
    </w:p>
    <w:p w:rsidR="00B9049A" w:rsidRPr="006F2657" w:rsidRDefault="00B9049A" w:rsidP="00704286">
      <w:pPr>
        <w:autoSpaceDE w:val="0"/>
        <w:autoSpaceDN w:val="0"/>
        <w:adjustRightInd w:val="0"/>
        <w:spacing w:line="360" w:lineRule="auto"/>
        <w:jc w:val="both"/>
        <w:rPr>
          <w:rFonts w:ascii="Tahoma" w:hAnsi="Tahoma" w:cs="Tahoma"/>
          <w:color w:val="000000"/>
          <w:sz w:val="22"/>
          <w:szCs w:val="22"/>
        </w:rPr>
      </w:pPr>
      <w:r w:rsidRPr="006F2657">
        <w:rPr>
          <w:rFonts w:ascii="Tahoma" w:hAnsi="Tahoma" w:cs="Tahoma"/>
          <w:color w:val="000000"/>
          <w:sz w:val="22"/>
          <w:szCs w:val="22"/>
        </w:rPr>
        <w:t xml:space="preserve">Dicha Ley ha sido modificada por la Ley Orgánica 4/2012, de 28 de septiembre y posteriormente  por la Ley Orgánica 9/2013, de 20 de diciembre, de control de la Deuda Comercial en el Sector Público, </w:t>
      </w:r>
      <w:r>
        <w:rPr>
          <w:rFonts w:ascii="Tahoma" w:hAnsi="Tahoma" w:cs="Tahoma"/>
          <w:color w:val="000000"/>
          <w:sz w:val="22"/>
          <w:szCs w:val="22"/>
        </w:rPr>
        <w:t xml:space="preserve">así como por la Ley Orgánica 6/2015, de 12 de junio y por la Ley Orgánica 1/2016, de 31 de octubre </w:t>
      </w:r>
      <w:r w:rsidRPr="006F2657">
        <w:rPr>
          <w:rFonts w:ascii="Tahoma" w:hAnsi="Tahoma" w:cs="Tahoma"/>
          <w:color w:val="000000"/>
          <w:sz w:val="22"/>
          <w:szCs w:val="22"/>
        </w:rPr>
        <w:t xml:space="preserve">que determinan un seguimiento más exhaustivo del cumplimiento de los objetivos de </w:t>
      </w:r>
      <w:r w:rsidRPr="006F2657">
        <w:rPr>
          <w:rFonts w:ascii="Tahoma" w:hAnsi="Tahoma" w:cs="Tahoma"/>
          <w:color w:val="000000"/>
          <w:sz w:val="22"/>
          <w:szCs w:val="22"/>
        </w:rPr>
        <w:lastRenderedPageBreak/>
        <w:t>estabilidad y deuda de las entidades</w:t>
      </w:r>
      <w:r>
        <w:rPr>
          <w:rFonts w:ascii="Tahoma" w:hAnsi="Tahoma" w:cs="Tahoma"/>
          <w:color w:val="000000"/>
          <w:sz w:val="22"/>
          <w:szCs w:val="22"/>
        </w:rPr>
        <w:t>,</w:t>
      </w:r>
      <w:r w:rsidRPr="006F2657">
        <w:rPr>
          <w:rFonts w:ascii="Tahoma" w:hAnsi="Tahoma" w:cs="Tahoma"/>
          <w:color w:val="000000"/>
          <w:sz w:val="22"/>
          <w:szCs w:val="22"/>
        </w:rPr>
        <w:t xml:space="preserve"> de forma que puedan atender sus vencimientos</w:t>
      </w:r>
      <w:r>
        <w:rPr>
          <w:rFonts w:ascii="Tahoma" w:hAnsi="Tahoma" w:cs="Tahoma"/>
          <w:color w:val="000000"/>
          <w:sz w:val="22"/>
          <w:szCs w:val="22"/>
        </w:rPr>
        <w:t xml:space="preserve"> y que regula las reglas para el establecimiento de dichos objetivos, en aquel momento, por un Gobierno en funciones</w:t>
      </w:r>
      <w:r w:rsidRPr="006F2657">
        <w:rPr>
          <w:rFonts w:ascii="Tahoma" w:hAnsi="Tahoma" w:cs="Tahoma"/>
          <w:color w:val="000000"/>
          <w:sz w:val="22"/>
          <w:szCs w:val="22"/>
        </w:rPr>
        <w:t>.</w:t>
      </w:r>
    </w:p>
    <w:p w:rsidR="00B9049A" w:rsidRPr="002238E6" w:rsidRDefault="00B9049A" w:rsidP="00704286">
      <w:pPr>
        <w:pStyle w:val="Style1"/>
        <w:spacing w:line="360" w:lineRule="auto"/>
        <w:ind w:left="0"/>
        <w:rPr>
          <w:rFonts w:ascii="Tahoma" w:hAnsi="Tahoma" w:cs="Tahoma"/>
          <w:color w:val="FF0000"/>
          <w:sz w:val="22"/>
          <w:szCs w:val="22"/>
          <w:lang w:val="es-ES"/>
        </w:rPr>
      </w:pPr>
      <w:r w:rsidRPr="006B5E25">
        <w:rPr>
          <w:rFonts w:ascii="Tahoma" w:hAnsi="Tahoma" w:cs="Tahoma"/>
          <w:color w:val="000000"/>
          <w:sz w:val="22"/>
          <w:szCs w:val="22"/>
          <w:lang w:val="es-ES"/>
        </w:rPr>
        <w:t>E</w:t>
      </w:r>
      <w:r w:rsidRPr="00704286">
        <w:rPr>
          <w:rFonts w:ascii="Tahoma" w:hAnsi="Tahoma" w:cs="Tahoma"/>
          <w:color w:val="000000"/>
          <w:sz w:val="22"/>
          <w:szCs w:val="22"/>
          <w:lang w:val="es-ES"/>
        </w:rPr>
        <w:t>n el artí</w:t>
      </w:r>
      <w:r>
        <w:rPr>
          <w:rFonts w:ascii="Tahoma" w:hAnsi="Tahoma" w:cs="Tahoma"/>
          <w:color w:val="000000"/>
          <w:sz w:val="22"/>
          <w:szCs w:val="22"/>
          <w:lang w:val="es-ES"/>
        </w:rPr>
        <w:t xml:space="preserve">culo 15 de esta LOEPSF se </w:t>
      </w:r>
      <w:r w:rsidRPr="00704286">
        <w:rPr>
          <w:rFonts w:ascii="Tahoma" w:hAnsi="Tahoma" w:cs="Tahoma"/>
          <w:color w:val="000000"/>
          <w:sz w:val="22"/>
          <w:szCs w:val="22"/>
          <w:lang w:val="es-ES"/>
        </w:rPr>
        <w:t>establece que el Gobierno, a propuesta del Ministerio de Hacienda y Administraciones Públicas, fijará el objetivo de estabilidad presupuestaria en términos de capacidad o necesidad de financiación de acuerdo con la definición contenida en el Sistema Europeo de Cuentas Nacionales y Regionales y el objetivo de deuda pública, ambos expresados en términos porcentuales del Producto Interior Bruto nacional nominal y referidos a los tres ejercicios siguientes, tanto para el conjunto de Administraciones Públicas como para cada uno de sus subsectores.</w:t>
      </w:r>
      <w:r>
        <w:rPr>
          <w:rFonts w:ascii="Tahoma" w:hAnsi="Tahoma" w:cs="Tahoma"/>
          <w:color w:val="000000"/>
          <w:sz w:val="22"/>
          <w:szCs w:val="22"/>
          <w:lang w:val="es-ES"/>
        </w:rPr>
        <w:t xml:space="preserve"> </w:t>
      </w:r>
    </w:p>
    <w:p w:rsidR="00B9049A" w:rsidRPr="00121588" w:rsidRDefault="00B9049A" w:rsidP="002016AA">
      <w:pPr>
        <w:spacing w:before="180" w:line="360" w:lineRule="auto"/>
        <w:jc w:val="both"/>
        <w:rPr>
          <w:rFonts w:ascii="Tahoma" w:hAnsi="Tahoma" w:cs="Tahoma"/>
          <w:color w:val="000000"/>
          <w:sz w:val="22"/>
          <w:szCs w:val="22"/>
        </w:rPr>
      </w:pPr>
      <w:r w:rsidRPr="00121588">
        <w:rPr>
          <w:rFonts w:ascii="Tahoma" w:hAnsi="Tahoma" w:cs="Tahoma"/>
          <w:color w:val="000000"/>
          <w:sz w:val="22"/>
          <w:szCs w:val="22"/>
        </w:rPr>
        <w:t xml:space="preserve">Al encontrarnos en el periodo transitorio, que media hasta el ejercicio 2020, es de aplicación la disposición transitoria primera que regula los límites del ratio de la deuda pública sobre el PIB. De esta forma, </w:t>
      </w:r>
      <w:r>
        <w:rPr>
          <w:rFonts w:ascii="Tahoma" w:hAnsi="Tahoma" w:cs="Tahoma"/>
          <w:color w:val="000000"/>
          <w:sz w:val="22"/>
          <w:szCs w:val="22"/>
        </w:rPr>
        <w:t>cada</w:t>
      </w:r>
      <w:r w:rsidRPr="00121588">
        <w:rPr>
          <w:rFonts w:ascii="Tahoma" w:hAnsi="Tahoma" w:cs="Tahoma"/>
          <w:color w:val="000000"/>
          <w:sz w:val="22"/>
          <w:szCs w:val="22"/>
        </w:rPr>
        <w:t xml:space="preserve"> año el Gobierno ha venido fijando el objetivo de deuda pública del conjunto de las entidades locales para los tres ejercicios siguientes. </w:t>
      </w:r>
    </w:p>
    <w:p w:rsidR="00B9049A" w:rsidRDefault="00B9049A" w:rsidP="003729FB">
      <w:pPr>
        <w:spacing w:before="180" w:line="360" w:lineRule="auto"/>
        <w:jc w:val="both"/>
        <w:rPr>
          <w:rFonts w:ascii="Tahoma" w:hAnsi="Tahoma" w:cs="Tahoma"/>
          <w:color w:val="000000"/>
          <w:sz w:val="22"/>
          <w:szCs w:val="22"/>
        </w:rPr>
      </w:pPr>
      <w:r w:rsidRPr="00121588">
        <w:rPr>
          <w:rFonts w:ascii="Tahoma" w:hAnsi="Tahoma" w:cs="Tahoma"/>
          <w:color w:val="000000"/>
          <w:sz w:val="22"/>
          <w:szCs w:val="22"/>
        </w:rPr>
        <w:t xml:space="preserve">Así </w:t>
      </w:r>
      <w:r>
        <w:rPr>
          <w:rFonts w:ascii="Tahoma" w:hAnsi="Tahoma" w:cs="Tahoma"/>
          <w:color w:val="000000"/>
          <w:sz w:val="22"/>
          <w:szCs w:val="22"/>
        </w:rPr>
        <w:t xml:space="preserve">el Consejo de Ministros en reunión celebrada el 7 </w:t>
      </w:r>
      <w:r w:rsidRPr="00F60F5F">
        <w:rPr>
          <w:rFonts w:ascii="Tahoma" w:hAnsi="Tahoma" w:cs="Tahoma"/>
          <w:color w:val="000000"/>
          <w:sz w:val="22"/>
          <w:szCs w:val="22"/>
        </w:rPr>
        <w:t xml:space="preserve">de </w:t>
      </w:r>
      <w:r>
        <w:rPr>
          <w:rFonts w:ascii="Tahoma" w:hAnsi="Tahoma" w:cs="Tahoma"/>
          <w:color w:val="000000"/>
          <w:sz w:val="22"/>
          <w:szCs w:val="22"/>
        </w:rPr>
        <w:t>julio</w:t>
      </w:r>
      <w:r w:rsidRPr="00F60F5F">
        <w:rPr>
          <w:rFonts w:ascii="Tahoma" w:hAnsi="Tahoma" w:cs="Tahoma"/>
          <w:color w:val="000000"/>
          <w:sz w:val="22"/>
          <w:szCs w:val="22"/>
        </w:rPr>
        <w:t xml:space="preserve"> de 201</w:t>
      </w:r>
      <w:r>
        <w:rPr>
          <w:rFonts w:ascii="Tahoma" w:hAnsi="Tahoma" w:cs="Tahoma"/>
          <w:color w:val="000000"/>
          <w:sz w:val="22"/>
          <w:szCs w:val="22"/>
        </w:rPr>
        <w:t>7</w:t>
      </w:r>
      <w:r w:rsidRPr="00F60F5F">
        <w:rPr>
          <w:rFonts w:ascii="Tahoma" w:hAnsi="Tahoma" w:cs="Tahoma"/>
          <w:color w:val="000000"/>
          <w:sz w:val="22"/>
          <w:szCs w:val="22"/>
        </w:rPr>
        <w:t xml:space="preserve">, </w:t>
      </w:r>
      <w:r>
        <w:rPr>
          <w:rFonts w:ascii="Tahoma" w:hAnsi="Tahoma" w:cs="Tahoma"/>
          <w:color w:val="000000"/>
          <w:sz w:val="22"/>
          <w:szCs w:val="22"/>
        </w:rPr>
        <w:t xml:space="preserve">fijó el </w:t>
      </w:r>
      <w:r w:rsidRPr="00F60F5F">
        <w:rPr>
          <w:rFonts w:ascii="Tahoma" w:hAnsi="Tahoma" w:cs="Tahoma"/>
          <w:color w:val="000000"/>
          <w:sz w:val="22"/>
          <w:szCs w:val="22"/>
        </w:rPr>
        <w:t xml:space="preserve">objetivo </w:t>
      </w:r>
      <w:r>
        <w:rPr>
          <w:rFonts w:ascii="Tahoma" w:hAnsi="Tahoma" w:cs="Tahoma"/>
          <w:color w:val="000000"/>
          <w:sz w:val="22"/>
          <w:szCs w:val="22"/>
        </w:rPr>
        <w:t xml:space="preserve">de deuda pública para el conjunto de las Entidades Locales </w:t>
      </w:r>
      <w:r w:rsidRPr="00F60F5F">
        <w:rPr>
          <w:rFonts w:ascii="Tahoma" w:hAnsi="Tahoma" w:cs="Tahoma"/>
          <w:color w:val="000000"/>
          <w:sz w:val="22"/>
          <w:szCs w:val="22"/>
        </w:rPr>
        <w:t>para los años 2018</w:t>
      </w:r>
      <w:r>
        <w:rPr>
          <w:rFonts w:ascii="Tahoma" w:hAnsi="Tahoma" w:cs="Tahoma"/>
          <w:color w:val="000000"/>
          <w:sz w:val="22"/>
          <w:szCs w:val="22"/>
        </w:rPr>
        <w:t>, 2019 y 2020</w:t>
      </w:r>
      <w:r w:rsidRPr="00F60F5F">
        <w:rPr>
          <w:rFonts w:ascii="Tahoma" w:hAnsi="Tahoma" w:cs="Tahoma"/>
          <w:color w:val="000000"/>
          <w:sz w:val="22"/>
          <w:szCs w:val="22"/>
        </w:rPr>
        <w:t xml:space="preserve">, quedando establecido </w:t>
      </w:r>
      <w:r>
        <w:rPr>
          <w:rFonts w:ascii="Tahoma" w:hAnsi="Tahoma" w:cs="Tahoma"/>
          <w:color w:val="000000"/>
          <w:sz w:val="22"/>
          <w:szCs w:val="22"/>
        </w:rPr>
        <w:t>en este momento en:</w:t>
      </w:r>
    </w:p>
    <w:p w:rsidR="00B9049A" w:rsidRDefault="00B9049A" w:rsidP="003729FB">
      <w:pPr>
        <w:spacing w:before="180" w:line="360" w:lineRule="auto"/>
        <w:jc w:val="both"/>
        <w:rPr>
          <w:rFonts w:ascii="Tahoma" w:hAnsi="Tahoma" w:cs="Tahoma"/>
          <w:color w:val="000000"/>
          <w:sz w:val="22"/>
          <w:szCs w:val="22"/>
        </w:rPr>
      </w:pPr>
    </w:p>
    <w:p w:rsidR="00B9049A" w:rsidRPr="00C55DAB" w:rsidRDefault="0026194C" w:rsidP="00C55DAB">
      <w:pPr>
        <w:tabs>
          <w:tab w:val="left" w:pos="2410"/>
        </w:tabs>
        <w:spacing w:before="180" w:line="360" w:lineRule="auto"/>
        <w:jc w:val="center"/>
        <w:rPr>
          <w:rFonts w:ascii="Tahoma" w:hAnsi="Tahoma" w:cs="Tahoma"/>
          <w:color w:val="000000"/>
          <w:sz w:val="22"/>
          <w:szCs w:val="22"/>
        </w:rPr>
      </w:pPr>
      <w:r>
        <w:rPr>
          <w:noProof/>
        </w:rPr>
        <w:drawing>
          <wp:inline distT="0" distB="0" distL="0" distR="0">
            <wp:extent cx="4140200" cy="10541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40200" cy="1054100"/>
                    </a:xfrm>
                    <a:prstGeom prst="rect">
                      <a:avLst/>
                    </a:prstGeom>
                    <a:noFill/>
                    <a:ln w="9525">
                      <a:noFill/>
                      <a:miter lim="800000"/>
                      <a:headEnd/>
                      <a:tailEnd/>
                    </a:ln>
                  </pic:spPr>
                </pic:pic>
              </a:graphicData>
            </a:graphic>
          </wp:inline>
        </w:drawing>
      </w:r>
    </w:p>
    <w:p w:rsidR="00B9049A" w:rsidRPr="00121588" w:rsidRDefault="00B9049A" w:rsidP="003729FB">
      <w:pPr>
        <w:spacing w:before="180" w:line="360" w:lineRule="auto"/>
        <w:jc w:val="both"/>
        <w:rPr>
          <w:rFonts w:ascii="Tahoma" w:hAnsi="Tahoma" w:cs="Tahoma"/>
          <w:color w:val="000000"/>
          <w:sz w:val="22"/>
          <w:szCs w:val="22"/>
        </w:rPr>
      </w:pPr>
      <w:r>
        <w:rPr>
          <w:rFonts w:ascii="Tahoma" w:hAnsi="Tahoma" w:cs="Tahoma"/>
          <w:color w:val="0000FF"/>
          <w:sz w:val="22"/>
          <w:szCs w:val="22"/>
        </w:rPr>
        <w:t xml:space="preserve"> </w:t>
      </w:r>
    </w:p>
    <w:p w:rsidR="00B9049A" w:rsidRPr="00704286" w:rsidRDefault="00B9049A" w:rsidP="00704286">
      <w:pPr>
        <w:pStyle w:val="Style1"/>
        <w:spacing w:before="0" w:line="360" w:lineRule="auto"/>
        <w:ind w:left="0"/>
        <w:rPr>
          <w:rFonts w:ascii="Tahoma" w:hAnsi="Tahoma" w:cs="Tahoma"/>
          <w:color w:val="000000"/>
          <w:sz w:val="22"/>
          <w:szCs w:val="22"/>
          <w:lang w:val="es-ES"/>
        </w:rPr>
      </w:pPr>
      <w:r w:rsidRPr="00704286">
        <w:rPr>
          <w:rFonts w:ascii="Tahoma" w:hAnsi="Tahoma" w:cs="Tahoma"/>
          <w:color w:val="000000"/>
          <w:sz w:val="22"/>
          <w:szCs w:val="22"/>
          <w:lang w:val="es-ES"/>
        </w:rPr>
        <w:t xml:space="preserve">Por tanto, la normativa de estabilidad presupuestaria </w:t>
      </w:r>
      <w:r>
        <w:rPr>
          <w:rFonts w:ascii="Tahoma" w:hAnsi="Tahoma" w:cs="Tahoma"/>
          <w:color w:val="000000"/>
          <w:sz w:val="22"/>
          <w:szCs w:val="22"/>
          <w:lang w:val="es-ES"/>
        </w:rPr>
        <w:t>fue</w:t>
      </w:r>
      <w:r w:rsidRPr="00E718D7">
        <w:rPr>
          <w:rFonts w:ascii="Tahoma" w:hAnsi="Tahoma" w:cs="Tahoma"/>
          <w:color w:val="000000"/>
          <w:sz w:val="22"/>
          <w:szCs w:val="22"/>
          <w:lang w:val="es-ES"/>
        </w:rPr>
        <w:t xml:space="preserve"> novedosa respecto al endeudamiento de las entidades locales al regular desde hace unos años, la fijación</w:t>
      </w:r>
      <w:r w:rsidRPr="00704286">
        <w:rPr>
          <w:rFonts w:ascii="Tahoma" w:hAnsi="Tahoma" w:cs="Tahoma"/>
          <w:color w:val="000000"/>
          <w:sz w:val="22"/>
          <w:szCs w:val="22"/>
          <w:lang w:val="es-ES"/>
        </w:rPr>
        <w:t xml:space="preserve"> de </w:t>
      </w:r>
      <w:r>
        <w:rPr>
          <w:rFonts w:ascii="Tahoma" w:hAnsi="Tahoma" w:cs="Tahoma"/>
          <w:color w:val="000000"/>
          <w:sz w:val="22"/>
          <w:szCs w:val="22"/>
          <w:lang w:val="es-ES"/>
        </w:rPr>
        <w:t>los</w:t>
      </w:r>
      <w:r w:rsidRPr="00704286">
        <w:rPr>
          <w:rFonts w:ascii="Tahoma" w:hAnsi="Tahoma" w:cs="Tahoma"/>
          <w:color w:val="000000"/>
          <w:sz w:val="22"/>
          <w:szCs w:val="22"/>
          <w:lang w:val="es-ES"/>
        </w:rPr>
        <w:t xml:space="preserve"> objetivos de deuda</w:t>
      </w:r>
      <w:r>
        <w:rPr>
          <w:rFonts w:ascii="Tahoma" w:hAnsi="Tahoma" w:cs="Tahoma"/>
          <w:color w:val="000000"/>
          <w:sz w:val="22"/>
          <w:szCs w:val="22"/>
          <w:lang w:val="es-ES"/>
        </w:rPr>
        <w:t xml:space="preserve"> para el conjunto de la administración local, que se traduce en un</w:t>
      </w:r>
      <w:r w:rsidRPr="00704286">
        <w:rPr>
          <w:rFonts w:ascii="Tahoma" w:hAnsi="Tahoma" w:cs="Tahoma"/>
          <w:color w:val="000000"/>
          <w:sz w:val="22"/>
          <w:szCs w:val="22"/>
          <w:lang w:val="es-ES"/>
        </w:rPr>
        <w:t xml:space="preserve"> límite de </w:t>
      </w:r>
      <w:r>
        <w:rPr>
          <w:rFonts w:ascii="Tahoma" w:hAnsi="Tahoma" w:cs="Tahoma"/>
          <w:color w:val="000000"/>
          <w:sz w:val="22"/>
          <w:szCs w:val="22"/>
          <w:lang w:val="es-ES"/>
        </w:rPr>
        <w:t>endeudamiento sobre los ingresos corrientes liquidados consolidados, r</w:t>
      </w:r>
      <w:r w:rsidRPr="00704286">
        <w:rPr>
          <w:rFonts w:ascii="Tahoma" w:hAnsi="Tahoma" w:cs="Tahoma"/>
          <w:color w:val="000000"/>
          <w:sz w:val="22"/>
          <w:szCs w:val="22"/>
          <w:lang w:val="es-ES"/>
        </w:rPr>
        <w:t>ecog</w:t>
      </w:r>
      <w:r>
        <w:rPr>
          <w:rFonts w:ascii="Tahoma" w:hAnsi="Tahoma" w:cs="Tahoma"/>
          <w:color w:val="000000"/>
          <w:sz w:val="22"/>
          <w:szCs w:val="22"/>
          <w:lang w:val="es-ES"/>
        </w:rPr>
        <w:t>idos</w:t>
      </w:r>
      <w:r w:rsidRPr="00704286">
        <w:rPr>
          <w:rFonts w:ascii="Tahoma" w:hAnsi="Tahoma" w:cs="Tahoma"/>
          <w:color w:val="000000"/>
          <w:sz w:val="22"/>
          <w:szCs w:val="22"/>
          <w:lang w:val="es-ES"/>
        </w:rPr>
        <w:t xml:space="preserve"> en el TRLRHL y en las posteriores modificaciones de las Leyes de Presupuestos Generales del Estado</w:t>
      </w:r>
      <w:r>
        <w:rPr>
          <w:rFonts w:ascii="Tahoma" w:hAnsi="Tahoma" w:cs="Tahoma"/>
          <w:color w:val="000000"/>
          <w:sz w:val="22"/>
          <w:szCs w:val="22"/>
          <w:lang w:val="es-ES"/>
        </w:rPr>
        <w:t>.</w:t>
      </w:r>
    </w:p>
    <w:p w:rsidR="00B9049A" w:rsidRDefault="00B9049A" w:rsidP="004D4463">
      <w:pPr>
        <w:spacing w:before="180" w:line="360" w:lineRule="auto"/>
        <w:jc w:val="both"/>
        <w:rPr>
          <w:rFonts w:ascii="Tahoma" w:hAnsi="Tahoma" w:cs="Tahoma"/>
          <w:color w:val="000000"/>
          <w:sz w:val="22"/>
          <w:szCs w:val="22"/>
        </w:rPr>
      </w:pPr>
      <w:r w:rsidRPr="00C33814">
        <w:rPr>
          <w:rFonts w:ascii="Tahoma" w:hAnsi="Tahoma" w:cs="Tahoma"/>
          <w:color w:val="000000"/>
          <w:sz w:val="22"/>
          <w:szCs w:val="22"/>
        </w:rPr>
        <w:t>Este objetivo de deuda no incluye el endeudamiento derivado de</w:t>
      </w:r>
      <w:r>
        <w:rPr>
          <w:rFonts w:ascii="Tahoma" w:hAnsi="Tahoma" w:cs="Tahoma"/>
          <w:color w:val="000000"/>
          <w:sz w:val="22"/>
          <w:szCs w:val="22"/>
        </w:rPr>
        <w:t xml:space="preserve"> </w:t>
      </w:r>
      <w:r w:rsidRPr="00C33814">
        <w:rPr>
          <w:rFonts w:ascii="Tahoma" w:hAnsi="Tahoma" w:cs="Tahoma"/>
          <w:color w:val="000000"/>
          <w:sz w:val="22"/>
          <w:szCs w:val="22"/>
        </w:rPr>
        <w:t>mecanismo</w:t>
      </w:r>
      <w:r>
        <w:rPr>
          <w:rFonts w:ascii="Tahoma" w:hAnsi="Tahoma" w:cs="Tahoma"/>
          <w:color w:val="000000"/>
          <w:sz w:val="22"/>
          <w:szCs w:val="22"/>
        </w:rPr>
        <w:t>s</w:t>
      </w:r>
      <w:r w:rsidRPr="00C33814">
        <w:rPr>
          <w:rFonts w:ascii="Tahoma" w:hAnsi="Tahoma" w:cs="Tahoma"/>
          <w:color w:val="000000"/>
          <w:sz w:val="22"/>
          <w:szCs w:val="22"/>
        </w:rPr>
        <w:t xml:space="preserve"> extraordinario</w:t>
      </w:r>
      <w:r>
        <w:rPr>
          <w:rFonts w:ascii="Tahoma" w:hAnsi="Tahoma" w:cs="Tahoma"/>
          <w:color w:val="000000"/>
          <w:sz w:val="22"/>
          <w:szCs w:val="22"/>
        </w:rPr>
        <w:t>s</w:t>
      </w:r>
      <w:r w:rsidRPr="00C33814">
        <w:rPr>
          <w:rFonts w:ascii="Tahoma" w:hAnsi="Tahoma" w:cs="Tahoma"/>
          <w:color w:val="000000"/>
          <w:sz w:val="22"/>
          <w:szCs w:val="22"/>
        </w:rPr>
        <w:t xml:space="preserve"> </w:t>
      </w:r>
      <w:r>
        <w:rPr>
          <w:rFonts w:ascii="Tahoma" w:hAnsi="Tahoma" w:cs="Tahoma"/>
          <w:color w:val="000000"/>
          <w:sz w:val="22"/>
          <w:szCs w:val="22"/>
        </w:rPr>
        <w:t xml:space="preserve">o adicionales </w:t>
      </w:r>
      <w:r w:rsidRPr="00C33814">
        <w:rPr>
          <w:rFonts w:ascii="Tahoma" w:hAnsi="Tahoma" w:cs="Tahoma"/>
          <w:color w:val="000000"/>
          <w:sz w:val="22"/>
          <w:szCs w:val="22"/>
        </w:rPr>
        <w:t xml:space="preserve">de financiación </w:t>
      </w:r>
      <w:r>
        <w:rPr>
          <w:rFonts w:ascii="Tahoma" w:hAnsi="Tahoma" w:cs="Tahoma"/>
          <w:color w:val="000000"/>
          <w:sz w:val="22"/>
          <w:szCs w:val="22"/>
        </w:rPr>
        <w:t xml:space="preserve">como han sido los previstos </w:t>
      </w:r>
      <w:r w:rsidRPr="00C33814">
        <w:rPr>
          <w:rFonts w:ascii="Tahoma" w:hAnsi="Tahoma" w:cs="Tahoma"/>
          <w:color w:val="000000"/>
          <w:sz w:val="22"/>
          <w:szCs w:val="22"/>
        </w:rPr>
        <w:t>para el pago a proveedores de las entidades locales</w:t>
      </w:r>
      <w:r>
        <w:rPr>
          <w:rFonts w:ascii="Tahoma" w:hAnsi="Tahoma" w:cs="Tahoma"/>
          <w:color w:val="000000"/>
          <w:sz w:val="22"/>
          <w:szCs w:val="22"/>
        </w:rPr>
        <w:t xml:space="preserve"> u otros que el Estado pudiera implementar.</w:t>
      </w:r>
    </w:p>
    <w:p w:rsidR="00B9049A" w:rsidRDefault="00B9049A" w:rsidP="00104892">
      <w:pPr>
        <w:autoSpaceDE w:val="0"/>
        <w:autoSpaceDN w:val="0"/>
        <w:adjustRightInd w:val="0"/>
        <w:spacing w:line="360" w:lineRule="auto"/>
        <w:jc w:val="both"/>
        <w:rPr>
          <w:rFonts w:ascii="Tahoma" w:hAnsi="Tahoma" w:cs="Tahoma"/>
          <w:color w:val="000000"/>
          <w:sz w:val="22"/>
          <w:szCs w:val="22"/>
        </w:rPr>
      </w:pPr>
    </w:p>
    <w:p w:rsidR="00B9049A" w:rsidRDefault="00B9049A" w:rsidP="00104892">
      <w:pPr>
        <w:autoSpaceDE w:val="0"/>
        <w:autoSpaceDN w:val="0"/>
        <w:adjustRightInd w:val="0"/>
        <w:spacing w:line="360" w:lineRule="auto"/>
        <w:jc w:val="both"/>
        <w:rPr>
          <w:rFonts w:ascii="Tahoma" w:hAnsi="Tahoma" w:cs="Tahoma"/>
          <w:color w:val="000000"/>
          <w:sz w:val="22"/>
          <w:szCs w:val="22"/>
        </w:rPr>
      </w:pPr>
    </w:p>
    <w:p w:rsidR="00B9049A" w:rsidRPr="00C538FE" w:rsidRDefault="00B9049A" w:rsidP="00104892">
      <w:pPr>
        <w:autoSpaceDE w:val="0"/>
        <w:autoSpaceDN w:val="0"/>
        <w:adjustRightInd w:val="0"/>
        <w:spacing w:line="360" w:lineRule="auto"/>
        <w:jc w:val="both"/>
        <w:rPr>
          <w:rFonts w:ascii="Tahoma" w:hAnsi="Tahoma" w:cs="Tahoma"/>
          <w:color w:val="000000"/>
          <w:sz w:val="22"/>
          <w:szCs w:val="22"/>
        </w:rPr>
      </w:pPr>
      <w:r w:rsidRPr="00C538FE">
        <w:rPr>
          <w:rFonts w:ascii="Tahoma" w:hAnsi="Tahoma" w:cs="Tahoma"/>
          <w:color w:val="000000"/>
          <w:sz w:val="22"/>
          <w:szCs w:val="22"/>
        </w:rPr>
        <w:t xml:space="preserve">Así en la Disposición Adicional Primera de la Ley 2/2012 se prevé que las Comunidades Autónomas y Corporaciones Locales puedan solicitar al Estado el acceso a medidas extraordinarias de apoyo a la liquidez. Dentro de este marco, son varios los mecanismos que desde el año 2012 el Estado ha puesto en marcha, como son el Fondo para la financiación de los pagos a proveedores, el Fondo de liquidez autonómico (FLA) </w:t>
      </w:r>
      <w:r>
        <w:rPr>
          <w:rFonts w:ascii="Tahoma" w:hAnsi="Tahoma" w:cs="Tahoma"/>
          <w:color w:val="000000"/>
          <w:sz w:val="22"/>
          <w:szCs w:val="22"/>
        </w:rPr>
        <w:t xml:space="preserve">u otras </w:t>
      </w:r>
      <w:r w:rsidRPr="00C538FE">
        <w:rPr>
          <w:rFonts w:ascii="Tahoma" w:hAnsi="Tahoma" w:cs="Tahoma"/>
          <w:color w:val="000000"/>
          <w:sz w:val="22"/>
          <w:szCs w:val="22"/>
        </w:rPr>
        <w:t>medidas de apoyo a municipios con problemas financieros. Todo ello a cambio del cumplimiento de un conjunto de condiciones fiscales y financieras para garantizar la sostenibilidad financiera.</w:t>
      </w:r>
    </w:p>
    <w:p w:rsidR="00B9049A" w:rsidRPr="00C538FE" w:rsidRDefault="00B9049A" w:rsidP="00104892">
      <w:pPr>
        <w:autoSpaceDE w:val="0"/>
        <w:autoSpaceDN w:val="0"/>
        <w:adjustRightInd w:val="0"/>
        <w:spacing w:line="360" w:lineRule="auto"/>
        <w:jc w:val="both"/>
        <w:rPr>
          <w:rFonts w:ascii="Tahoma" w:hAnsi="Tahoma" w:cs="Tahoma"/>
          <w:color w:val="000000"/>
          <w:sz w:val="22"/>
          <w:szCs w:val="22"/>
        </w:rPr>
      </w:pPr>
    </w:p>
    <w:p w:rsidR="00B9049A" w:rsidRDefault="00B9049A" w:rsidP="00104892">
      <w:pPr>
        <w:autoSpaceDE w:val="0"/>
        <w:autoSpaceDN w:val="0"/>
        <w:adjustRightInd w:val="0"/>
        <w:spacing w:line="360" w:lineRule="auto"/>
        <w:jc w:val="both"/>
        <w:rPr>
          <w:rFonts w:ascii="Tahoma" w:hAnsi="Tahoma" w:cs="Tahoma"/>
          <w:color w:val="FF0000"/>
          <w:sz w:val="22"/>
          <w:szCs w:val="22"/>
        </w:rPr>
      </w:pPr>
      <w:r w:rsidRPr="00C538FE">
        <w:rPr>
          <w:rFonts w:ascii="Tahoma" w:hAnsi="Tahoma" w:cs="Tahoma"/>
          <w:color w:val="000000"/>
          <w:sz w:val="22"/>
          <w:szCs w:val="22"/>
        </w:rPr>
        <w:t>De esta forma, se aprobaron entre otros, para las entidades locales, el RDL 5/2009, de 24 de abril, de medidas extraordinarias y urgentes para facilitar a las entidades Locales el saneamiento de deudas pendientes de pago con empresas y autónomos, el RDL 4/2012, de 24 de febrero, mecanismo de financiación para el pago a los proveedores de las entidades locales y el RDL 4/2013 de 22 de febrero, de medidas de apoyo al emprendedor y estímulo del crecimie</w:t>
      </w:r>
      <w:r>
        <w:rPr>
          <w:rFonts w:ascii="Tahoma" w:hAnsi="Tahoma" w:cs="Tahoma"/>
          <w:color w:val="000000"/>
          <w:sz w:val="22"/>
          <w:szCs w:val="22"/>
        </w:rPr>
        <w:t>nto y de la creación de empleo.</w:t>
      </w:r>
    </w:p>
    <w:p w:rsidR="00B9049A" w:rsidRDefault="00B9049A" w:rsidP="00104892">
      <w:pPr>
        <w:autoSpaceDE w:val="0"/>
        <w:autoSpaceDN w:val="0"/>
        <w:adjustRightInd w:val="0"/>
        <w:spacing w:line="360" w:lineRule="auto"/>
        <w:jc w:val="both"/>
        <w:rPr>
          <w:rFonts w:ascii="Tahoma" w:hAnsi="Tahoma" w:cs="Tahoma"/>
          <w:color w:val="FF0000"/>
          <w:sz w:val="22"/>
          <w:szCs w:val="22"/>
        </w:rPr>
      </w:pPr>
    </w:p>
    <w:p w:rsidR="00B9049A" w:rsidRPr="00FB7DD8" w:rsidRDefault="00B9049A" w:rsidP="00104892">
      <w:pPr>
        <w:autoSpaceDE w:val="0"/>
        <w:autoSpaceDN w:val="0"/>
        <w:adjustRightInd w:val="0"/>
        <w:spacing w:line="360" w:lineRule="auto"/>
        <w:jc w:val="both"/>
        <w:rPr>
          <w:rFonts w:ascii="Tahoma" w:hAnsi="Tahoma" w:cs="Tahoma"/>
          <w:color w:val="000000"/>
          <w:sz w:val="22"/>
          <w:szCs w:val="22"/>
        </w:rPr>
      </w:pPr>
      <w:r w:rsidRPr="00FB7DD8">
        <w:rPr>
          <w:rFonts w:ascii="Tahoma" w:hAnsi="Tahoma" w:cs="Tahoma"/>
          <w:color w:val="000000"/>
          <w:sz w:val="22"/>
          <w:szCs w:val="22"/>
        </w:rPr>
        <w:t xml:space="preserve">Con </w:t>
      </w:r>
      <w:r>
        <w:rPr>
          <w:rFonts w:ascii="Tahoma" w:hAnsi="Tahoma" w:cs="Tahoma"/>
          <w:color w:val="000000"/>
          <w:sz w:val="22"/>
          <w:szCs w:val="22"/>
        </w:rPr>
        <w:t xml:space="preserve">el </w:t>
      </w:r>
      <w:r w:rsidRPr="00FB7DD8">
        <w:rPr>
          <w:rFonts w:ascii="Tahoma" w:hAnsi="Tahoma" w:cs="Tahoma"/>
          <w:color w:val="000000"/>
          <w:sz w:val="22"/>
          <w:szCs w:val="22"/>
        </w:rPr>
        <w:t xml:space="preserve">mecanismo de pagos a proveedores </w:t>
      </w:r>
      <w:r>
        <w:rPr>
          <w:rFonts w:ascii="Tahoma" w:hAnsi="Tahoma" w:cs="Tahoma"/>
          <w:color w:val="000000"/>
          <w:sz w:val="22"/>
          <w:szCs w:val="22"/>
        </w:rPr>
        <w:t xml:space="preserve">establecido en el RDL 4/2012, </w:t>
      </w:r>
      <w:r w:rsidRPr="00FB7DD8">
        <w:rPr>
          <w:rFonts w:ascii="Tahoma" w:hAnsi="Tahoma" w:cs="Tahoma"/>
          <w:color w:val="000000"/>
          <w:sz w:val="22"/>
          <w:szCs w:val="22"/>
        </w:rPr>
        <w:t>las entidades locales</w:t>
      </w:r>
      <w:r>
        <w:rPr>
          <w:rFonts w:ascii="Tahoma" w:hAnsi="Tahoma" w:cs="Tahoma"/>
          <w:color w:val="000000"/>
          <w:sz w:val="22"/>
          <w:szCs w:val="22"/>
        </w:rPr>
        <w:t xml:space="preserve"> </w:t>
      </w:r>
      <w:r w:rsidRPr="00FB7DD8">
        <w:rPr>
          <w:rFonts w:ascii="Tahoma" w:hAnsi="Tahoma" w:cs="Tahoma"/>
          <w:color w:val="000000"/>
          <w:sz w:val="22"/>
          <w:szCs w:val="22"/>
        </w:rPr>
        <w:t>podían concertar operaciones de préstamo a largo plazo para el pago a sus proveedores, sin tener para ello que cumplir con los límites de endeudamiento del TRLRHL; sin embargo se condicionaba a las entidades a aprobar un Plan de Ajuste bajo unos determinados criterios con el fin de garantizar la sostenibilidad financiera de la operación. El Plan de Ajuste debía ser aprobado por el Ministerio de Hacienda y Administraciones Públicas y ello habilitaba la posibilidad de formalizar la operación de préstamo. Los tipos de interés que se aplicaban a estas operaciones, fijados por el Convenio que firmó el Estado con el Instituto de Crédito Oficial, igual para todas las entidades locales independientemente de la entidad financiera con la que se firmara y que eran el equivalente al coste de financiación del Tesoro Público a los plazos de las operaciones más un margen, pronto quedaron fuera de mercado, es decir, eran muy superiores a los que las entidades locales podían endeudarse si solicitaban una operación de préstamo a las entidades financieras.</w:t>
      </w:r>
    </w:p>
    <w:p w:rsidR="00B9049A" w:rsidRDefault="00B9049A" w:rsidP="00104892">
      <w:pPr>
        <w:autoSpaceDE w:val="0"/>
        <w:autoSpaceDN w:val="0"/>
        <w:adjustRightInd w:val="0"/>
        <w:spacing w:line="360" w:lineRule="auto"/>
        <w:jc w:val="both"/>
        <w:rPr>
          <w:rFonts w:ascii="Tahoma" w:hAnsi="Tahoma" w:cs="Tahoma"/>
          <w:color w:val="FF0000"/>
          <w:sz w:val="22"/>
          <w:szCs w:val="22"/>
        </w:rPr>
      </w:pPr>
      <w:r>
        <w:rPr>
          <w:rFonts w:ascii="Tahoma" w:hAnsi="Tahoma" w:cs="Tahoma"/>
          <w:color w:val="FF0000"/>
          <w:sz w:val="22"/>
          <w:szCs w:val="22"/>
        </w:rPr>
        <w:t xml:space="preserve"> </w:t>
      </w:r>
    </w:p>
    <w:p w:rsidR="00B9049A" w:rsidRPr="00F06149" w:rsidRDefault="00B9049A" w:rsidP="00104892">
      <w:pPr>
        <w:autoSpaceDE w:val="0"/>
        <w:autoSpaceDN w:val="0"/>
        <w:adjustRightInd w:val="0"/>
        <w:spacing w:line="360" w:lineRule="auto"/>
        <w:jc w:val="both"/>
        <w:rPr>
          <w:rFonts w:ascii="Tahoma" w:hAnsi="Tahoma" w:cs="Tahoma"/>
          <w:color w:val="000000"/>
          <w:sz w:val="22"/>
          <w:szCs w:val="22"/>
        </w:rPr>
      </w:pPr>
      <w:r w:rsidRPr="00FB7DD8">
        <w:rPr>
          <w:rFonts w:ascii="Tahoma" w:hAnsi="Tahoma" w:cs="Tahoma"/>
          <w:color w:val="000000"/>
          <w:sz w:val="22"/>
          <w:szCs w:val="22"/>
        </w:rPr>
        <w:t>Ante la negociación de la FEMP, en</w:t>
      </w:r>
      <w:r w:rsidRPr="00F06149">
        <w:rPr>
          <w:rFonts w:ascii="Tahoma" w:hAnsi="Tahoma" w:cs="Tahoma"/>
          <w:color w:val="000000"/>
          <w:sz w:val="22"/>
          <w:szCs w:val="22"/>
        </w:rPr>
        <w:t xml:space="preserve"> </w:t>
      </w:r>
      <w:r>
        <w:rPr>
          <w:rFonts w:ascii="Tahoma" w:hAnsi="Tahoma" w:cs="Tahoma"/>
          <w:color w:val="000000"/>
          <w:sz w:val="22"/>
          <w:szCs w:val="22"/>
        </w:rPr>
        <w:t xml:space="preserve">el año </w:t>
      </w:r>
      <w:r w:rsidRPr="00F06149">
        <w:rPr>
          <w:rFonts w:ascii="Tahoma" w:hAnsi="Tahoma" w:cs="Tahoma"/>
          <w:color w:val="000000"/>
          <w:sz w:val="22"/>
          <w:szCs w:val="22"/>
        </w:rPr>
        <w:t>2014 el Gobierno permiti</w:t>
      </w:r>
      <w:r>
        <w:rPr>
          <w:rFonts w:ascii="Tahoma" w:hAnsi="Tahoma" w:cs="Tahoma"/>
          <w:color w:val="000000"/>
          <w:sz w:val="22"/>
          <w:szCs w:val="22"/>
        </w:rPr>
        <w:t>ó</w:t>
      </w:r>
      <w:r w:rsidRPr="00F06149">
        <w:rPr>
          <w:rFonts w:ascii="Tahoma" w:hAnsi="Tahoma" w:cs="Tahoma"/>
          <w:color w:val="000000"/>
          <w:sz w:val="22"/>
          <w:szCs w:val="22"/>
        </w:rPr>
        <w:t xml:space="preserve">, mediante Real Decreto Ley 8/2014, de 4 de julio, de aprobación de medidas urgentes para el crecimiento, la competitividad y la eficiencia </w:t>
      </w:r>
      <w:r>
        <w:rPr>
          <w:rFonts w:ascii="Tahoma" w:hAnsi="Tahoma" w:cs="Tahoma"/>
          <w:color w:val="000000"/>
          <w:sz w:val="22"/>
          <w:szCs w:val="22"/>
        </w:rPr>
        <w:t xml:space="preserve">(convalidado mediante la Ley 18/2014, de 15 de octubre) </w:t>
      </w:r>
      <w:r w:rsidRPr="00F06149">
        <w:rPr>
          <w:rFonts w:ascii="Tahoma" w:hAnsi="Tahoma" w:cs="Tahoma"/>
          <w:color w:val="000000"/>
          <w:sz w:val="22"/>
          <w:szCs w:val="22"/>
        </w:rPr>
        <w:t xml:space="preserve">y como excepción a lo dispuesto en la </w:t>
      </w:r>
      <w:r w:rsidRPr="00C116C8">
        <w:rPr>
          <w:rFonts w:ascii="Tahoma" w:hAnsi="Tahoma" w:cs="Tahoma"/>
          <w:color w:val="000000"/>
          <w:sz w:val="22"/>
          <w:szCs w:val="22"/>
        </w:rPr>
        <w:t>DF. trigésima primera</w:t>
      </w:r>
      <w:r w:rsidRPr="00F06149">
        <w:rPr>
          <w:rFonts w:ascii="Tahoma" w:hAnsi="Tahoma" w:cs="Tahoma"/>
          <w:color w:val="000000"/>
          <w:sz w:val="22"/>
          <w:szCs w:val="22"/>
        </w:rPr>
        <w:t xml:space="preserve"> de la Ley de Presupuestos de 2013, la posibilidad de concertar nuevas operaciones de endeudamiento para cancelar las operaciones de préstamos </w:t>
      </w:r>
      <w:r w:rsidRPr="00F06149">
        <w:rPr>
          <w:rFonts w:ascii="Tahoma" w:hAnsi="Tahoma" w:cs="Tahoma"/>
          <w:color w:val="000000"/>
          <w:sz w:val="22"/>
          <w:szCs w:val="22"/>
        </w:rPr>
        <w:lastRenderedPageBreak/>
        <w:t xml:space="preserve">formalizadas por las entidades locales con el Fondo para la Financiación de los Pagos a Proveedores, es decir, refinanciando las mismas, siempre que </w:t>
      </w:r>
      <w:r w:rsidRPr="00FB7DD8">
        <w:rPr>
          <w:rFonts w:ascii="Tahoma" w:hAnsi="Tahoma" w:cs="Tahoma"/>
          <w:color w:val="000000"/>
          <w:sz w:val="22"/>
          <w:szCs w:val="22"/>
        </w:rPr>
        <w:t>se cumplieran unas determinadas</w:t>
      </w:r>
      <w:r w:rsidRPr="00F06149">
        <w:rPr>
          <w:rFonts w:ascii="Tahoma" w:hAnsi="Tahoma" w:cs="Tahoma"/>
          <w:color w:val="000000"/>
          <w:sz w:val="22"/>
          <w:szCs w:val="22"/>
        </w:rPr>
        <w:t xml:space="preserve"> condiciones:</w:t>
      </w:r>
    </w:p>
    <w:p w:rsidR="00B9049A" w:rsidRPr="00F06149" w:rsidRDefault="00B9049A" w:rsidP="00630BAC">
      <w:pPr>
        <w:numPr>
          <w:ilvl w:val="3"/>
          <w:numId w:val="27"/>
        </w:numPr>
        <w:tabs>
          <w:tab w:val="clear" w:pos="2520"/>
          <w:tab w:val="num" w:pos="142"/>
        </w:tabs>
        <w:spacing w:before="100" w:beforeAutospacing="1" w:after="100" w:afterAutospacing="1" w:line="360" w:lineRule="auto"/>
        <w:ind w:left="709" w:hanging="567"/>
        <w:jc w:val="both"/>
        <w:rPr>
          <w:rFonts w:ascii="Tahoma" w:hAnsi="Tahoma" w:cs="Tahoma"/>
          <w:color w:val="000000"/>
          <w:sz w:val="22"/>
          <w:szCs w:val="22"/>
        </w:rPr>
      </w:pPr>
      <w:r w:rsidRPr="00F06149">
        <w:rPr>
          <w:rFonts w:ascii="Tahoma" w:hAnsi="Tahoma" w:cs="Tahoma"/>
          <w:color w:val="000000"/>
          <w:sz w:val="22"/>
          <w:szCs w:val="22"/>
        </w:rPr>
        <w:t xml:space="preserve">La nueva operación de endeudamiento a suscribir </w:t>
      </w:r>
      <w:r>
        <w:rPr>
          <w:rFonts w:ascii="Tahoma" w:hAnsi="Tahoma" w:cs="Tahoma"/>
          <w:color w:val="000000"/>
          <w:sz w:val="22"/>
          <w:szCs w:val="22"/>
        </w:rPr>
        <w:t>tuviera</w:t>
      </w:r>
      <w:r w:rsidRPr="00F06149">
        <w:rPr>
          <w:rFonts w:ascii="Tahoma" w:hAnsi="Tahoma" w:cs="Tahoma"/>
          <w:color w:val="000000"/>
          <w:sz w:val="22"/>
          <w:szCs w:val="22"/>
        </w:rPr>
        <w:t xml:space="preserve"> como máximo el mismo período de amortización que rest</w:t>
      </w:r>
      <w:r>
        <w:rPr>
          <w:rFonts w:ascii="Tahoma" w:hAnsi="Tahoma" w:cs="Tahoma"/>
          <w:color w:val="000000"/>
          <w:sz w:val="22"/>
          <w:szCs w:val="22"/>
        </w:rPr>
        <w:t>ara</w:t>
      </w:r>
      <w:r w:rsidRPr="00F06149">
        <w:rPr>
          <w:rFonts w:ascii="Tahoma" w:hAnsi="Tahoma" w:cs="Tahoma"/>
          <w:color w:val="000000"/>
          <w:sz w:val="22"/>
          <w:szCs w:val="22"/>
        </w:rPr>
        <w:t xml:space="preserve"> para la cancelación completa de las operaciones de crédito suscritas con el mencionado Fondo.</w:t>
      </w:r>
    </w:p>
    <w:p w:rsidR="00B9049A" w:rsidRPr="00F06149" w:rsidRDefault="00B9049A" w:rsidP="00630BAC">
      <w:pPr>
        <w:numPr>
          <w:ilvl w:val="3"/>
          <w:numId w:val="27"/>
        </w:numPr>
        <w:tabs>
          <w:tab w:val="clear" w:pos="2520"/>
          <w:tab w:val="num" w:pos="142"/>
        </w:tabs>
        <w:spacing w:before="100" w:beforeAutospacing="1" w:after="100" w:afterAutospacing="1" w:line="360" w:lineRule="auto"/>
        <w:ind w:left="709" w:hanging="567"/>
        <w:jc w:val="both"/>
        <w:rPr>
          <w:rFonts w:ascii="Tahoma" w:hAnsi="Tahoma" w:cs="Tahoma"/>
          <w:color w:val="000000"/>
          <w:sz w:val="22"/>
          <w:szCs w:val="22"/>
        </w:rPr>
      </w:pPr>
      <w:r w:rsidRPr="00F06149">
        <w:rPr>
          <w:rFonts w:ascii="Tahoma" w:hAnsi="Tahoma" w:cs="Tahoma"/>
          <w:color w:val="000000"/>
          <w:sz w:val="22"/>
          <w:szCs w:val="22"/>
        </w:rPr>
        <w:t>Con la nueva operación se gener</w:t>
      </w:r>
      <w:r>
        <w:rPr>
          <w:rFonts w:ascii="Tahoma" w:hAnsi="Tahoma" w:cs="Tahoma"/>
          <w:color w:val="000000"/>
          <w:sz w:val="22"/>
          <w:szCs w:val="22"/>
        </w:rPr>
        <w:t>ara</w:t>
      </w:r>
      <w:r w:rsidRPr="00F06149">
        <w:rPr>
          <w:rFonts w:ascii="Tahoma" w:hAnsi="Tahoma" w:cs="Tahoma"/>
          <w:color w:val="000000"/>
          <w:sz w:val="22"/>
          <w:szCs w:val="22"/>
        </w:rPr>
        <w:t xml:space="preserve"> una disminución de la carga financiera que </w:t>
      </w:r>
      <w:r>
        <w:rPr>
          <w:rFonts w:ascii="Tahoma" w:hAnsi="Tahoma" w:cs="Tahoma"/>
          <w:color w:val="000000"/>
          <w:sz w:val="22"/>
          <w:szCs w:val="22"/>
        </w:rPr>
        <w:t>supusiera</w:t>
      </w:r>
      <w:r w:rsidRPr="00F06149">
        <w:rPr>
          <w:rFonts w:ascii="Tahoma" w:hAnsi="Tahoma" w:cs="Tahoma"/>
          <w:color w:val="000000"/>
          <w:sz w:val="22"/>
          <w:szCs w:val="22"/>
        </w:rPr>
        <w:t xml:space="preserve"> un ahorro financiero.</w:t>
      </w:r>
    </w:p>
    <w:p w:rsidR="00B9049A" w:rsidRPr="00F06149" w:rsidRDefault="00B9049A" w:rsidP="00630BAC">
      <w:pPr>
        <w:numPr>
          <w:ilvl w:val="3"/>
          <w:numId w:val="27"/>
        </w:numPr>
        <w:tabs>
          <w:tab w:val="clear" w:pos="2520"/>
          <w:tab w:val="num" w:pos="142"/>
        </w:tabs>
        <w:spacing w:before="100" w:beforeAutospacing="1" w:after="100" w:afterAutospacing="1" w:line="360" w:lineRule="auto"/>
        <w:ind w:left="709" w:hanging="567"/>
        <w:jc w:val="both"/>
        <w:rPr>
          <w:rFonts w:ascii="Tahoma" w:hAnsi="Tahoma" w:cs="Tahoma"/>
          <w:color w:val="000000"/>
          <w:sz w:val="22"/>
          <w:szCs w:val="22"/>
        </w:rPr>
      </w:pPr>
      <w:r w:rsidRPr="00F06149">
        <w:rPr>
          <w:rFonts w:ascii="Tahoma" w:hAnsi="Tahoma" w:cs="Tahoma"/>
          <w:color w:val="000000"/>
          <w:sz w:val="22"/>
          <w:szCs w:val="22"/>
        </w:rPr>
        <w:t>La operación no podr</w:t>
      </w:r>
      <w:r>
        <w:rPr>
          <w:rFonts w:ascii="Tahoma" w:hAnsi="Tahoma" w:cs="Tahoma"/>
          <w:color w:val="000000"/>
          <w:sz w:val="22"/>
          <w:szCs w:val="22"/>
        </w:rPr>
        <w:t>ía</w:t>
      </w:r>
      <w:r w:rsidRPr="00F06149">
        <w:rPr>
          <w:rFonts w:ascii="Tahoma" w:hAnsi="Tahoma" w:cs="Tahoma"/>
          <w:color w:val="000000"/>
          <w:sz w:val="22"/>
          <w:szCs w:val="22"/>
        </w:rPr>
        <w:t xml:space="preserve"> incorporar la garantía de la participación en tributos del Estado ni podr</w:t>
      </w:r>
      <w:r>
        <w:rPr>
          <w:rFonts w:ascii="Tahoma" w:hAnsi="Tahoma" w:cs="Tahoma"/>
          <w:color w:val="000000"/>
          <w:sz w:val="22"/>
          <w:szCs w:val="22"/>
        </w:rPr>
        <w:t>ían</w:t>
      </w:r>
      <w:r w:rsidRPr="00F06149">
        <w:rPr>
          <w:rFonts w:ascii="Tahoma" w:hAnsi="Tahoma" w:cs="Tahoma"/>
          <w:color w:val="000000"/>
          <w:sz w:val="22"/>
          <w:szCs w:val="22"/>
        </w:rPr>
        <w:t xml:space="preserve"> subrogarse las entidades de crédito que </w:t>
      </w:r>
      <w:r>
        <w:rPr>
          <w:rFonts w:ascii="Tahoma" w:hAnsi="Tahoma" w:cs="Tahoma"/>
          <w:color w:val="000000"/>
          <w:sz w:val="22"/>
          <w:szCs w:val="22"/>
        </w:rPr>
        <w:t>concertaran</w:t>
      </w:r>
      <w:r w:rsidRPr="00F06149">
        <w:rPr>
          <w:rFonts w:ascii="Tahoma" w:hAnsi="Tahoma" w:cs="Tahoma"/>
          <w:color w:val="000000"/>
          <w:sz w:val="22"/>
          <w:szCs w:val="22"/>
        </w:rPr>
        <w:t xml:space="preserve"> estas nuevas operaciones</w:t>
      </w:r>
      <w:r>
        <w:rPr>
          <w:rFonts w:ascii="Tahoma" w:hAnsi="Tahoma" w:cs="Tahoma"/>
          <w:color w:val="000000"/>
          <w:sz w:val="22"/>
          <w:szCs w:val="22"/>
        </w:rPr>
        <w:t xml:space="preserve"> en los derechos que correspondiera</w:t>
      </w:r>
      <w:r w:rsidRPr="00F06149">
        <w:rPr>
          <w:rFonts w:ascii="Tahoma" w:hAnsi="Tahoma" w:cs="Tahoma"/>
          <w:color w:val="000000"/>
          <w:sz w:val="22"/>
          <w:szCs w:val="22"/>
        </w:rPr>
        <w:t>n al Fondo.</w:t>
      </w:r>
    </w:p>
    <w:p w:rsidR="00B9049A" w:rsidRPr="00F06149" w:rsidRDefault="00B9049A" w:rsidP="00630BAC">
      <w:pPr>
        <w:numPr>
          <w:ilvl w:val="3"/>
          <w:numId w:val="27"/>
        </w:numPr>
        <w:tabs>
          <w:tab w:val="clear" w:pos="2520"/>
          <w:tab w:val="num" w:pos="142"/>
        </w:tabs>
        <w:spacing w:before="100" w:beforeAutospacing="1" w:after="100" w:afterAutospacing="1" w:line="360" w:lineRule="auto"/>
        <w:ind w:left="709" w:hanging="567"/>
        <w:jc w:val="both"/>
        <w:rPr>
          <w:rFonts w:ascii="Tahoma" w:hAnsi="Tahoma" w:cs="Tahoma"/>
          <w:color w:val="000000"/>
          <w:sz w:val="22"/>
          <w:szCs w:val="22"/>
        </w:rPr>
      </w:pPr>
      <w:r w:rsidRPr="00F06149">
        <w:rPr>
          <w:rFonts w:ascii="Tahoma" w:hAnsi="Tahoma" w:cs="Tahoma"/>
          <w:color w:val="000000"/>
          <w:sz w:val="22"/>
          <w:szCs w:val="22"/>
        </w:rPr>
        <w:t>La nueva operación deber</w:t>
      </w:r>
      <w:r>
        <w:rPr>
          <w:rFonts w:ascii="Tahoma" w:hAnsi="Tahoma" w:cs="Tahoma"/>
          <w:color w:val="000000"/>
          <w:sz w:val="22"/>
          <w:szCs w:val="22"/>
        </w:rPr>
        <w:t>ía</w:t>
      </w:r>
      <w:r w:rsidRPr="00F06149">
        <w:rPr>
          <w:rFonts w:ascii="Tahoma" w:hAnsi="Tahoma" w:cs="Tahoma"/>
          <w:color w:val="000000"/>
          <w:sz w:val="22"/>
          <w:szCs w:val="22"/>
        </w:rPr>
        <w:t xml:space="preserve"> destinarse en su totalidad a la amortización anticipada total o parcial de los préstamos formalizados con el Fondo. </w:t>
      </w:r>
    </w:p>
    <w:p w:rsidR="00B9049A" w:rsidRPr="00FB7DD8" w:rsidRDefault="00B9049A" w:rsidP="00E1686B">
      <w:pPr>
        <w:spacing w:before="100" w:beforeAutospacing="1" w:after="100" w:afterAutospacing="1" w:line="360" w:lineRule="auto"/>
        <w:jc w:val="both"/>
        <w:rPr>
          <w:rFonts w:ascii="Tahoma" w:hAnsi="Tahoma" w:cs="Tahoma"/>
          <w:color w:val="000000"/>
          <w:sz w:val="22"/>
          <w:szCs w:val="22"/>
        </w:rPr>
      </w:pPr>
      <w:r w:rsidRPr="00F06149">
        <w:rPr>
          <w:rFonts w:ascii="Tahoma" w:hAnsi="Tahoma" w:cs="Tahoma"/>
          <w:color w:val="000000"/>
          <w:sz w:val="22"/>
          <w:szCs w:val="22"/>
        </w:rPr>
        <w:t>La formalización de las nuevas op</w:t>
      </w:r>
      <w:r>
        <w:rPr>
          <w:rFonts w:ascii="Tahoma" w:hAnsi="Tahoma" w:cs="Tahoma"/>
          <w:color w:val="000000"/>
          <w:sz w:val="22"/>
          <w:szCs w:val="22"/>
        </w:rPr>
        <w:t xml:space="preserve">eraciones de endeudamiento </w:t>
      </w:r>
      <w:r w:rsidRPr="00FB7DD8">
        <w:rPr>
          <w:rFonts w:ascii="Tahoma" w:hAnsi="Tahoma" w:cs="Tahoma"/>
          <w:color w:val="000000"/>
          <w:sz w:val="22"/>
          <w:szCs w:val="22"/>
        </w:rPr>
        <w:t>requería</w:t>
      </w:r>
      <w:r w:rsidRPr="00F06149">
        <w:rPr>
          <w:rFonts w:ascii="Tahoma" w:hAnsi="Tahoma" w:cs="Tahoma"/>
          <w:color w:val="000000"/>
          <w:sz w:val="22"/>
          <w:szCs w:val="22"/>
        </w:rPr>
        <w:t xml:space="preserve"> la autorización del Ministerio de Hacie</w:t>
      </w:r>
      <w:r>
        <w:rPr>
          <w:rFonts w:ascii="Tahoma" w:hAnsi="Tahoma" w:cs="Tahoma"/>
          <w:color w:val="000000"/>
          <w:sz w:val="22"/>
          <w:szCs w:val="22"/>
        </w:rPr>
        <w:t>nda y Administraciones Públicas. De este modo, si</w:t>
      </w:r>
      <w:r w:rsidRPr="00F06149">
        <w:rPr>
          <w:rFonts w:ascii="Tahoma" w:hAnsi="Tahoma" w:cs="Tahoma"/>
          <w:color w:val="000000"/>
          <w:sz w:val="22"/>
          <w:szCs w:val="22"/>
        </w:rPr>
        <w:t xml:space="preserve"> la entidad local hubiere cumplido en 2013 con el límite de deuda </w:t>
      </w:r>
      <w:r>
        <w:rPr>
          <w:rFonts w:ascii="Tahoma" w:hAnsi="Tahoma" w:cs="Tahoma"/>
          <w:color w:val="000000"/>
          <w:sz w:val="22"/>
          <w:szCs w:val="22"/>
        </w:rPr>
        <w:t>fijado en los art. 51 y 53 del TRLRHL</w:t>
      </w:r>
      <w:r w:rsidRPr="00F06149">
        <w:rPr>
          <w:rFonts w:ascii="Tahoma" w:hAnsi="Tahoma" w:cs="Tahoma"/>
          <w:color w:val="000000"/>
          <w:sz w:val="22"/>
          <w:szCs w:val="22"/>
        </w:rPr>
        <w:t>, con el objetivo de estabilidad presupuestaria y con la regla de gasto y su período medio de pago a proveedores, calculado por la entidad local de acuerdo con la metodología básica aplicable, no exced</w:t>
      </w:r>
      <w:r>
        <w:rPr>
          <w:rFonts w:ascii="Tahoma" w:hAnsi="Tahoma" w:cs="Tahoma"/>
          <w:color w:val="000000"/>
          <w:sz w:val="22"/>
          <w:szCs w:val="22"/>
        </w:rPr>
        <w:t>ía</w:t>
      </w:r>
      <w:r w:rsidRPr="00F06149">
        <w:rPr>
          <w:rFonts w:ascii="Tahoma" w:hAnsi="Tahoma" w:cs="Tahoma"/>
          <w:color w:val="000000"/>
          <w:sz w:val="22"/>
          <w:szCs w:val="22"/>
        </w:rPr>
        <w:t xml:space="preserve"> del plazo máximo </w:t>
      </w:r>
      <w:r w:rsidRPr="00FB7DD8">
        <w:rPr>
          <w:rFonts w:ascii="Tahoma" w:hAnsi="Tahoma" w:cs="Tahoma"/>
          <w:color w:val="000000"/>
          <w:sz w:val="22"/>
          <w:szCs w:val="22"/>
        </w:rPr>
        <w:t>establecido en la normativa sobre la morosidad, podría formalizar la nueva operación. Si la entidad local cancelara totalmente los préstamos formalizados con el Fondo, quedaría sin vigencia el Plan de Ajuste aprobado que posibilitó su concertación.</w:t>
      </w:r>
    </w:p>
    <w:p w:rsidR="00B9049A" w:rsidRPr="00FB7DD8" w:rsidRDefault="00B9049A" w:rsidP="00E1686B">
      <w:pPr>
        <w:spacing w:before="100" w:beforeAutospacing="1" w:after="100" w:afterAutospacing="1" w:line="360" w:lineRule="auto"/>
        <w:jc w:val="both"/>
        <w:rPr>
          <w:rFonts w:ascii="Tahoma" w:hAnsi="Tahoma" w:cs="Tahoma"/>
          <w:color w:val="000000"/>
          <w:sz w:val="22"/>
          <w:szCs w:val="22"/>
        </w:rPr>
      </w:pPr>
      <w:r w:rsidRPr="00FB7DD8">
        <w:rPr>
          <w:rFonts w:ascii="Tahoma" w:hAnsi="Tahoma" w:cs="Tahoma"/>
          <w:color w:val="000000"/>
          <w:sz w:val="22"/>
          <w:szCs w:val="22"/>
        </w:rPr>
        <w:t>De no cumplirse alguno de los requisitos citados, la entidad local podría formalizar la nueva operación de endeudamiento, pero el Plan de Ajuste aprobado mantendría su vigencia aunque se cancelaran totalmente los préstamos formalizados con el Fondo.</w:t>
      </w:r>
    </w:p>
    <w:p w:rsidR="00B9049A" w:rsidRDefault="00B9049A" w:rsidP="0014417D">
      <w:pPr>
        <w:spacing w:line="360" w:lineRule="auto"/>
        <w:jc w:val="both"/>
        <w:rPr>
          <w:rFonts w:ascii="Tahoma" w:hAnsi="Tahoma" w:cs="Tahoma"/>
          <w:color w:val="FF0000"/>
          <w:sz w:val="22"/>
          <w:szCs w:val="22"/>
        </w:rPr>
      </w:pPr>
    </w:p>
    <w:p w:rsidR="00B9049A" w:rsidRDefault="00B9049A" w:rsidP="0014417D">
      <w:pPr>
        <w:spacing w:line="360" w:lineRule="auto"/>
        <w:jc w:val="both"/>
        <w:rPr>
          <w:rFonts w:ascii="Tahoma" w:hAnsi="Tahoma" w:cs="Tahoma"/>
          <w:color w:val="FF0000"/>
          <w:sz w:val="22"/>
          <w:szCs w:val="22"/>
        </w:rPr>
      </w:pPr>
      <w:r w:rsidRPr="00FB7DD8">
        <w:rPr>
          <w:rFonts w:ascii="Tahoma" w:hAnsi="Tahoma" w:cs="Tahoma"/>
          <w:color w:val="000000"/>
          <w:sz w:val="22"/>
          <w:szCs w:val="22"/>
        </w:rPr>
        <w:t>Ante la variedad de mecanismos de financiación a las entidades locales el RDL 17/2014, de 26 de diciembre, de medidas de sostenibilidad financiera de las comunidades autónomas y entidades locales y otras de carácter económico, se propuso simplificar y reducir el número de fondos creados para financiar mecanismos de apoyo a la liquidez. De esta forma, se crea el Fondo de F</w:t>
      </w:r>
      <w:r>
        <w:rPr>
          <w:rFonts w:ascii="Tahoma" w:hAnsi="Tahoma" w:cs="Tahoma"/>
          <w:color w:val="000000"/>
          <w:sz w:val="22"/>
          <w:szCs w:val="22"/>
        </w:rPr>
        <w:t xml:space="preserve">inanciación a Entidades Locales, que integra entre otros, al Fondo de Impulso Económico. </w:t>
      </w:r>
      <w:r w:rsidRPr="00FB7DD8">
        <w:rPr>
          <w:rFonts w:ascii="Tahoma" w:hAnsi="Tahoma" w:cs="Tahoma"/>
          <w:color w:val="000000"/>
          <w:sz w:val="22"/>
          <w:szCs w:val="22"/>
        </w:rPr>
        <w:t xml:space="preserve">Hay que destacar las exigencias solicitadas a las entidades locales para la adhesión al </w:t>
      </w:r>
      <w:r>
        <w:rPr>
          <w:rFonts w:ascii="Tahoma" w:hAnsi="Tahoma" w:cs="Tahoma"/>
          <w:color w:val="000000"/>
          <w:sz w:val="22"/>
          <w:szCs w:val="22"/>
        </w:rPr>
        <w:t>mismo</w:t>
      </w:r>
      <w:r w:rsidRPr="00FB7DD8">
        <w:rPr>
          <w:rFonts w:ascii="Tahoma" w:hAnsi="Tahoma" w:cs="Tahoma"/>
          <w:color w:val="000000"/>
          <w:sz w:val="22"/>
          <w:szCs w:val="22"/>
        </w:rPr>
        <w:t xml:space="preserve">, ya que la Resolución </w:t>
      </w:r>
      <w:r w:rsidRPr="00C42470">
        <w:rPr>
          <w:rFonts w:ascii="Tahoma" w:hAnsi="Tahoma" w:cs="Tahoma"/>
          <w:color w:val="000000"/>
          <w:sz w:val="22"/>
          <w:szCs w:val="22"/>
        </w:rPr>
        <w:t xml:space="preserve">de 4 de julio de 2017, de la Secretaría General del Tesoro y Política Financiera por la </w:t>
      </w:r>
      <w:r w:rsidRPr="00C42470">
        <w:rPr>
          <w:rFonts w:ascii="Tahoma" w:hAnsi="Tahoma" w:cs="Tahoma"/>
          <w:color w:val="000000"/>
          <w:sz w:val="22"/>
          <w:szCs w:val="22"/>
        </w:rPr>
        <w:lastRenderedPageBreak/>
        <w:t>que se define el principio de prudencia financiera aplicable a las operaciones de endeudamiento de las entidades locales, que derogó</w:t>
      </w:r>
      <w:r>
        <w:rPr>
          <w:rFonts w:ascii="Tahoma" w:hAnsi="Tahoma" w:cs="Tahoma"/>
          <w:color w:val="000000"/>
          <w:sz w:val="22"/>
          <w:szCs w:val="22"/>
        </w:rPr>
        <w:t xml:space="preserve"> la Resolución de 16 de septiembre</w:t>
      </w:r>
      <w:r w:rsidRPr="00FB7DD8">
        <w:rPr>
          <w:rFonts w:ascii="Tahoma" w:hAnsi="Tahoma" w:cs="Tahoma"/>
          <w:color w:val="000000"/>
          <w:sz w:val="22"/>
          <w:szCs w:val="22"/>
        </w:rPr>
        <w:t xml:space="preserve">, en su Anexo 3, establece los diferenciales máximos sobre el coste de financiación del Estado aplicables a las operaciones de endeudamiento. Así, para aquellas entidades locales que concierten operaciones de </w:t>
      </w:r>
      <w:r>
        <w:rPr>
          <w:rFonts w:ascii="Tahoma" w:hAnsi="Tahoma" w:cs="Tahoma"/>
          <w:color w:val="000000"/>
          <w:sz w:val="22"/>
          <w:szCs w:val="22"/>
        </w:rPr>
        <w:t>crédito</w:t>
      </w:r>
      <w:r w:rsidRPr="00FB7DD8">
        <w:rPr>
          <w:rFonts w:ascii="Tahoma" w:hAnsi="Tahoma" w:cs="Tahoma"/>
          <w:color w:val="000000"/>
          <w:sz w:val="22"/>
          <w:szCs w:val="22"/>
        </w:rPr>
        <w:t xml:space="preserve"> (operaciones no instrumentadas en valores) que cumplan las condiciones de elegibilidad del Fondo de Impulso Económico el diferencial máximo </w:t>
      </w:r>
      <w:r>
        <w:rPr>
          <w:rFonts w:ascii="Tahoma" w:hAnsi="Tahoma" w:cs="Tahoma"/>
          <w:color w:val="000000"/>
          <w:sz w:val="22"/>
          <w:szCs w:val="22"/>
        </w:rPr>
        <w:t xml:space="preserve">será de 50 </w:t>
      </w:r>
      <w:r w:rsidRPr="00FB7DD8">
        <w:rPr>
          <w:rFonts w:ascii="Tahoma" w:hAnsi="Tahoma" w:cs="Tahoma"/>
          <w:color w:val="000000"/>
          <w:sz w:val="22"/>
          <w:szCs w:val="22"/>
        </w:rPr>
        <w:t xml:space="preserve">puntos básicos </w:t>
      </w:r>
      <w:r>
        <w:rPr>
          <w:rFonts w:ascii="Tahoma" w:hAnsi="Tahoma" w:cs="Tahoma"/>
          <w:color w:val="000000"/>
          <w:sz w:val="22"/>
          <w:szCs w:val="22"/>
        </w:rPr>
        <w:t xml:space="preserve">ya sean operaciones a largo o a corto plazo </w:t>
      </w:r>
      <w:r w:rsidRPr="00FB7DD8">
        <w:rPr>
          <w:rFonts w:ascii="Tahoma" w:hAnsi="Tahoma" w:cs="Tahoma"/>
          <w:color w:val="000000"/>
          <w:sz w:val="22"/>
          <w:szCs w:val="22"/>
        </w:rPr>
        <w:t xml:space="preserve">y 75 </w:t>
      </w:r>
      <w:r>
        <w:rPr>
          <w:rFonts w:ascii="Tahoma" w:hAnsi="Tahoma" w:cs="Tahoma"/>
          <w:color w:val="000000"/>
          <w:sz w:val="22"/>
          <w:szCs w:val="22"/>
        </w:rPr>
        <w:t xml:space="preserve">puntos </w:t>
      </w:r>
      <w:r w:rsidRPr="00FB7DD8">
        <w:rPr>
          <w:rFonts w:ascii="Tahoma" w:hAnsi="Tahoma" w:cs="Tahoma"/>
          <w:color w:val="000000"/>
          <w:sz w:val="22"/>
          <w:szCs w:val="22"/>
        </w:rPr>
        <w:t>para las que no cumplan</w:t>
      </w:r>
      <w:r>
        <w:rPr>
          <w:rFonts w:ascii="Tahoma" w:hAnsi="Tahoma" w:cs="Tahoma"/>
          <w:color w:val="000000"/>
          <w:sz w:val="22"/>
          <w:szCs w:val="22"/>
        </w:rPr>
        <w:t xml:space="preserve"> dichas condiciones, cualquiera que sea el </w:t>
      </w:r>
      <w:r w:rsidRPr="006666CC">
        <w:rPr>
          <w:rFonts w:ascii="Tahoma" w:hAnsi="Tahoma" w:cs="Tahoma"/>
          <w:color w:val="000000"/>
          <w:sz w:val="22"/>
          <w:szCs w:val="22"/>
        </w:rPr>
        <w:t>plazo.</w:t>
      </w:r>
    </w:p>
    <w:p w:rsidR="00B9049A" w:rsidRDefault="00B9049A" w:rsidP="0014417D">
      <w:pPr>
        <w:spacing w:line="360" w:lineRule="auto"/>
        <w:jc w:val="both"/>
        <w:rPr>
          <w:rFonts w:ascii="Tahoma" w:hAnsi="Tahoma" w:cs="Tahoma"/>
          <w:color w:val="FF0000"/>
          <w:sz w:val="22"/>
          <w:szCs w:val="22"/>
        </w:rPr>
      </w:pPr>
    </w:p>
    <w:p w:rsidR="00B9049A" w:rsidRDefault="00B9049A" w:rsidP="00942F9E">
      <w:pPr>
        <w:widowControl w:val="0"/>
        <w:overflowPunct w:val="0"/>
        <w:autoSpaceDE w:val="0"/>
        <w:autoSpaceDN w:val="0"/>
        <w:adjustRightInd w:val="0"/>
        <w:spacing w:line="360" w:lineRule="auto"/>
        <w:ind w:right="10"/>
        <w:jc w:val="both"/>
        <w:rPr>
          <w:rFonts w:ascii="Tahoma" w:hAnsi="Tahoma" w:cs="Tahoma"/>
          <w:color w:val="000000"/>
          <w:sz w:val="22"/>
          <w:szCs w:val="22"/>
        </w:rPr>
      </w:pPr>
      <w:r>
        <w:rPr>
          <w:rFonts w:ascii="Tahoma" w:hAnsi="Tahoma" w:cs="Tahoma"/>
          <w:color w:val="000000"/>
          <w:sz w:val="22"/>
          <w:szCs w:val="22"/>
        </w:rPr>
        <w:t>Esas</w:t>
      </w:r>
      <w:r w:rsidRPr="00FB7DD8">
        <w:rPr>
          <w:rFonts w:ascii="Tahoma" w:hAnsi="Tahoma" w:cs="Tahoma"/>
          <w:color w:val="000000"/>
          <w:sz w:val="22"/>
          <w:szCs w:val="22"/>
        </w:rPr>
        <w:t xml:space="preserve"> condiciones de elegibilidad son:</w:t>
      </w:r>
    </w:p>
    <w:p w:rsidR="00B9049A" w:rsidRPr="00FB7DD8" w:rsidRDefault="00B9049A" w:rsidP="00942F9E">
      <w:pPr>
        <w:widowControl w:val="0"/>
        <w:overflowPunct w:val="0"/>
        <w:autoSpaceDE w:val="0"/>
        <w:autoSpaceDN w:val="0"/>
        <w:adjustRightInd w:val="0"/>
        <w:spacing w:line="360" w:lineRule="auto"/>
        <w:ind w:right="10"/>
        <w:jc w:val="both"/>
        <w:rPr>
          <w:rFonts w:ascii="Tahoma" w:hAnsi="Tahoma" w:cs="Tahoma"/>
          <w:color w:val="000000"/>
          <w:sz w:val="22"/>
          <w:szCs w:val="22"/>
        </w:rPr>
      </w:pPr>
    </w:p>
    <w:p w:rsidR="00B9049A" w:rsidRPr="00FB7DD8" w:rsidRDefault="00B9049A" w:rsidP="00942F9E">
      <w:pPr>
        <w:widowControl w:val="0"/>
        <w:numPr>
          <w:ilvl w:val="0"/>
          <w:numId w:val="31"/>
        </w:numPr>
        <w:overflowPunct w:val="0"/>
        <w:autoSpaceDE w:val="0"/>
        <w:autoSpaceDN w:val="0"/>
        <w:adjustRightInd w:val="0"/>
        <w:spacing w:after="200" w:line="360" w:lineRule="auto"/>
        <w:ind w:right="10"/>
        <w:jc w:val="both"/>
        <w:rPr>
          <w:rFonts w:ascii="Tahoma" w:hAnsi="Tahoma" w:cs="Tahoma"/>
          <w:color w:val="000000"/>
          <w:sz w:val="22"/>
          <w:szCs w:val="22"/>
        </w:rPr>
      </w:pPr>
      <w:r w:rsidRPr="00FB7DD8">
        <w:rPr>
          <w:rFonts w:ascii="Tahoma" w:hAnsi="Tahoma" w:cs="Tahoma"/>
          <w:color w:val="000000"/>
          <w:sz w:val="22"/>
          <w:szCs w:val="22"/>
        </w:rPr>
        <w:t>Que hayan cumplido los objetivos de estabilidad presupuestaria y deuda pública.</w:t>
      </w:r>
    </w:p>
    <w:p w:rsidR="00B9049A" w:rsidRPr="00FB7DD8" w:rsidRDefault="00B9049A" w:rsidP="00942F9E">
      <w:pPr>
        <w:widowControl w:val="0"/>
        <w:numPr>
          <w:ilvl w:val="0"/>
          <w:numId w:val="31"/>
        </w:numPr>
        <w:overflowPunct w:val="0"/>
        <w:autoSpaceDE w:val="0"/>
        <w:autoSpaceDN w:val="0"/>
        <w:adjustRightInd w:val="0"/>
        <w:spacing w:after="200" w:line="360" w:lineRule="auto"/>
        <w:ind w:right="10"/>
        <w:jc w:val="both"/>
        <w:rPr>
          <w:rFonts w:ascii="Tahoma" w:hAnsi="Tahoma" w:cs="Tahoma"/>
          <w:color w:val="000000"/>
          <w:sz w:val="22"/>
          <w:szCs w:val="22"/>
        </w:rPr>
      </w:pPr>
      <w:r w:rsidRPr="00FB7DD8">
        <w:rPr>
          <w:rFonts w:ascii="Tahoma" w:hAnsi="Tahoma" w:cs="Tahoma"/>
          <w:color w:val="000000"/>
          <w:sz w:val="22"/>
          <w:szCs w:val="22"/>
        </w:rPr>
        <w:t>Que su período medio de pago a proveedores no supere en más de treinta días el plazo máximo previsto en la normativa sobre morosidad durante los dos últimos meses previos a la solicitud.</w:t>
      </w:r>
    </w:p>
    <w:p w:rsidR="00B9049A" w:rsidRPr="00FB7DD8" w:rsidRDefault="00B9049A" w:rsidP="00942F9E">
      <w:pPr>
        <w:widowControl w:val="0"/>
        <w:numPr>
          <w:ilvl w:val="0"/>
          <w:numId w:val="31"/>
        </w:numPr>
        <w:overflowPunct w:val="0"/>
        <w:autoSpaceDE w:val="0"/>
        <w:autoSpaceDN w:val="0"/>
        <w:adjustRightInd w:val="0"/>
        <w:spacing w:after="200" w:line="360" w:lineRule="auto"/>
        <w:ind w:right="10"/>
        <w:jc w:val="both"/>
        <w:rPr>
          <w:rFonts w:ascii="Tahoma" w:hAnsi="Tahoma" w:cs="Tahoma"/>
          <w:color w:val="000000"/>
          <w:sz w:val="22"/>
          <w:szCs w:val="22"/>
        </w:rPr>
      </w:pPr>
      <w:r w:rsidRPr="00FB7DD8">
        <w:rPr>
          <w:rFonts w:ascii="Tahoma" w:hAnsi="Tahoma" w:cs="Tahoma"/>
          <w:color w:val="000000"/>
          <w:sz w:val="22"/>
          <w:szCs w:val="22"/>
        </w:rPr>
        <w:t>Que estén al corriente de sus obligaciones de suministro de información económica - financiera.</w:t>
      </w:r>
    </w:p>
    <w:p w:rsidR="00B9049A" w:rsidRPr="00FB7DD8" w:rsidRDefault="00B9049A" w:rsidP="00FB7DD8">
      <w:pPr>
        <w:spacing w:line="360" w:lineRule="auto"/>
        <w:jc w:val="both"/>
        <w:rPr>
          <w:rFonts w:ascii="Tahoma" w:hAnsi="Tahoma" w:cs="Tahoma"/>
          <w:color w:val="000000"/>
          <w:sz w:val="22"/>
          <w:szCs w:val="22"/>
        </w:rPr>
      </w:pPr>
      <w:r w:rsidRPr="00FB7DD8">
        <w:rPr>
          <w:rFonts w:ascii="Tahoma" w:hAnsi="Tahoma" w:cs="Tahoma"/>
          <w:color w:val="000000"/>
          <w:sz w:val="22"/>
          <w:szCs w:val="22"/>
        </w:rPr>
        <w:t>A estos efectos se tendrá en cuenta la última información publicada en la central de información económico - financiera de las Administraciones Públicas relativa a la liquidación del presupuesto, los datos relativos al endeudamiento y al período medio de pago a proveedores</w:t>
      </w:r>
      <w:r w:rsidRPr="00FB7DD8">
        <w:rPr>
          <w:rFonts w:ascii="Trebuchet MS" w:hAnsi="Trebuchet MS" w:cs="Trebuchet MS"/>
          <w:color w:val="000000"/>
          <w:sz w:val="22"/>
          <w:szCs w:val="22"/>
        </w:rPr>
        <w:t>.</w:t>
      </w:r>
    </w:p>
    <w:p w:rsidR="00B9049A" w:rsidRPr="00FB7DD8" w:rsidRDefault="00B9049A" w:rsidP="0014417D">
      <w:pPr>
        <w:spacing w:line="360" w:lineRule="auto"/>
        <w:jc w:val="both"/>
        <w:rPr>
          <w:rFonts w:ascii="Tahoma" w:hAnsi="Tahoma" w:cs="Tahoma"/>
          <w:color w:val="000000"/>
          <w:sz w:val="22"/>
          <w:szCs w:val="22"/>
        </w:rPr>
      </w:pPr>
    </w:p>
    <w:p w:rsidR="00B9049A" w:rsidRPr="00CF091B" w:rsidRDefault="00B9049A" w:rsidP="0014417D">
      <w:pPr>
        <w:spacing w:line="360" w:lineRule="auto"/>
        <w:jc w:val="both"/>
        <w:rPr>
          <w:rFonts w:ascii="Tahoma" w:hAnsi="Tahoma" w:cs="Tahoma"/>
          <w:color w:val="000000"/>
          <w:sz w:val="22"/>
          <w:szCs w:val="22"/>
        </w:rPr>
      </w:pPr>
      <w:r w:rsidRPr="00CF091B">
        <w:rPr>
          <w:rFonts w:ascii="Tahoma" w:hAnsi="Tahoma" w:cs="Tahoma"/>
          <w:color w:val="000000"/>
          <w:sz w:val="22"/>
          <w:szCs w:val="22"/>
        </w:rPr>
        <w:t xml:space="preserve">Finalmente, el artículo 20.2 de la Ley Orgánica 2/2012 de 27 de abril, de Estabilidad Presupuestaria y Sostenibilidad Financiera establece que, para </w:t>
      </w:r>
      <w:r w:rsidRPr="006666CC">
        <w:rPr>
          <w:rFonts w:ascii="Tahoma" w:hAnsi="Tahoma" w:cs="Tahoma"/>
          <w:b/>
          <w:color w:val="000000"/>
          <w:sz w:val="22"/>
          <w:szCs w:val="22"/>
        </w:rPr>
        <w:t>las entidades locales comprendidas en el ámbito subjetivo de los artículos 111 y 135 del TRLRHL, entre las que se encuentra esta Corporación, en los supuestos de incumplimiento del objetivo de estabilidad presupuestaria o de deuda pública, todas las operaciones de endeudamiento a largo plazo de la corporación local incumplidora, precisarán autorización del Estado</w:t>
      </w:r>
      <w:r w:rsidRPr="00CF091B">
        <w:rPr>
          <w:rFonts w:ascii="Tahoma" w:hAnsi="Tahoma" w:cs="Tahoma"/>
          <w:color w:val="000000"/>
          <w:sz w:val="22"/>
          <w:szCs w:val="22"/>
        </w:rPr>
        <w:t xml:space="preserve"> o en su caso de la Comunidad Autónoma que tenga atribuida la tutela financiera.</w:t>
      </w:r>
    </w:p>
    <w:p w:rsidR="00B9049A" w:rsidRPr="00CF091B" w:rsidRDefault="00B9049A" w:rsidP="0014417D">
      <w:pPr>
        <w:spacing w:line="360" w:lineRule="auto"/>
        <w:jc w:val="both"/>
        <w:rPr>
          <w:rFonts w:ascii="Tahoma" w:hAnsi="Tahoma" w:cs="Tahoma"/>
          <w:color w:val="000000"/>
          <w:sz w:val="22"/>
          <w:szCs w:val="22"/>
        </w:rPr>
      </w:pPr>
    </w:p>
    <w:p w:rsidR="00B9049A" w:rsidRDefault="00B9049A" w:rsidP="008041EA">
      <w:pPr>
        <w:widowControl w:val="0"/>
        <w:overflowPunct w:val="0"/>
        <w:autoSpaceDE w:val="0"/>
        <w:autoSpaceDN w:val="0"/>
        <w:adjustRightInd w:val="0"/>
        <w:spacing w:line="360" w:lineRule="auto"/>
        <w:ind w:right="10"/>
        <w:jc w:val="both"/>
        <w:rPr>
          <w:rFonts w:ascii="Tahoma" w:hAnsi="Tahoma" w:cs="Tahoma"/>
          <w:color w:val="000000"/>
          <w:sz w:val="22"/>
          <w:szCs w:val="22"/>
        </w:rPr>
      </w:pPr>
      <w:r w:rsidRPr="00CF091B">
        <w:rPr>
          <w:rFonts w:ascii="Tahoma" w:hAnsi="Tahoma" w:cs="Tahoma"/>
          <w:color w:val="000000"/>
          <w:sz w:val="22"/>
          <w:szCs w:val="22"/>
        </w:rPr>
        <w:t xml:space="preserve">De esta forma, aunque la operación de endeudamiento no necesite autorización expresa y previa por parte del Ministerio, según los requisitos del TRLRHL, porque la Corporación disponga de ahorro neto positivo y porcentaje de deuda por debajo del 75 por 100, podría necesitar dicha </w:t>
      </w:r>
      <w:r w:rsidRPr="00CF091B">
        <w:rPr>
          <w:rFonts w:ascii="Tahoma" w:hAnsi="Tahoma" w:cs="Tahoma"/>
          <w:color w:val="000000"/>
          <w:sz w:val="22"/>
          <w:szCs w:val="22"/>
        </w:rPr>
        <w:lastRenderedPageBreak/>
        <w:t>autorización si hay incumplimiento del</w:t>
      </w:r>
      <w:r>
        <w:rPr>
          <w:rFonts w:ascii="Tahoma" w:hAnsi="Tahoma" w:cs="Tahoma"/>
          <w:color w:val="000000"/>
          <w:sz w:val="22"/>
          <w:szCs w:val="22"/>
        </w:rPr>
        <w:t xml:space="preserve"> objetivo</w:t>
      </w:r>
      <w:r w:rsidRPr="00CF091B">
        <w:rPr>
          <w:rFonts w:ascii="Tahoma" w:hAnsi="Tahoma" w:cs="Tahoma"/>
          <w:color w:val="000000"/>
          <w:sz w:val="22"/>
          <w:szCs w:val="22"/>
        </w:rPr>
        <w:t xml:space="preserve"> de estabilidad</w:t>
      </w:r>
      <w:r>
        <w:rPr>
          <w:rFonts w:ascii="Tahoma" w:hAnsi="Tahoma" w:cs="Tahoma"/>
          <w:color w:val="000000"/>
          <w:sz w:val="22"/>
          <w:szCs w:val="22"/>
        </w:rPr>
        <w:t>.</w:t>
      </w:r>
    </w:p>
    <w:p w:rsidR="00B9049A" w:rsidRDefault="00B9049A" w:rsidP="0014417D">
      <w:pPr>
        <w:spacing w:line="360" w:lineRule="auto"/>
        <w:jc w:val="both"/>
        <w:rPr>
          <w:rFonts w:ascii="Tahoma" w:hAnsi="Tahoma" w:cs="Tahoma"/>
          <w:color w:val="FF0000"/>
          <w:sz w:val="22"/>
          <w:szCs w:val="22"/>
        </w:rPr>
      </w:pPr>
    </w:p>
    <w:p w:rsidR="00B9049A" w:rsidRPr="00050AA7" w:rsidRDefault="00B9049A" w:rsidP="0014417D">
      <w:pPr>
        <w:spacing w:line="360" w:lineRule="auto"/>
        <w:jc w:val="both"/>
        <w:rPr>
          <w:rFonts w:ascii="Tahoma" w:hAnsi="Tahoma" w:cs="Tahoma"/>
          <w:b/>
          <w:bCs/>
          <w:color w:val="FF0000"/>
          <w:sz w:val="22"/>
          <w:szCs w:val="22"/>
          <w:u w:val="single"/>
        </w:rPr>
      </w:pPr>
      <w:r w:rsidRPr="00033573">
        <w:rPr>
          <w:rFonts w:ascii="Tahoma" w:hAnsi="Tahoma" w:cs="Tahoma"/>
          <w:b/>
          <w:bCs/>
          <w:color w:val="000000"/>
          <w:sz w:val="22"/>
          <w:szCs w:val="22"/>
          <w:u w:val="single"/>
        </w:rPr>
        <w:t>3. Previsiones de evolución del endeudamiento</w:t>
      </w:r>
      <w:r w:rsidRPr="00C33814">
        <w:rPr>
          <w:rFonts w:ascii="Tahoma" w:hAnsi="Tahoma" w:cs="Tahoma"/>
          <w:b/>
          <w:bCs/>
          <w:color w:val="000000"/>
          <w:sz w:val="22"/>
          <w:szCs w:val="22"/>
          <w:u w:val="single"/>
        </w:rPr>
        <w:t xml:space="preserve"> del Cabildo,</w:t>
      </w:r>
      <w:r w:rsidRPr="00EF39E2">
        <w:rPr>
          <w:rFonts w:ascii="Tahoma" w:hAnsi="Tahoma" w:cs="Tahoma"/>
          <w:b/>
          <w:bCs/>
          <w:sz w:val="22"/>
          <w:szCs w:val="22"/>
          <w:u w:val="single"/>
        </w:rPr>
        <w:t xml:space="preserve"> características de las operaciones</w:t>
      </w:r>
      <w:r>
        <w:rPr>
          <w:rFonts w:ascii="Tahoma" w:hAnsi="Tahoma" w:cs="Tahoma"/>
          <w:b/>
          <w:bCs/>
          <w:sz w:val="22"/>
          <w:szCs w:val="22"/>
          <w:u w:val="single"/>
        </w:rPr>
        <w:t xml:space="preserve"> y </w:t>
      </w:r>
      <w:r w:rsidRPr="00C1399D">
        <w:rPr>
          <w:rFonts w:ascii="Tahoma" w:hAnsi="Tahoma" w:cs="Tahoma"/>
          <w:b/>
          <w:bCs/>
          <w:color w:val="000000"/>
          <w:sz w:val="22"/>
          <w:szCs w:val="22"/>
          <w:u w:val="single"/>
        </w:rPr>
        <w:t>cálculo de límites de endeudamiento</w:t>
      </w:r>
      <w:r w:rsidRPr="00C1399D">
        <w:rPr>
          <w:rFonts w:ascii="Tahoma" w:hAnsi="Tahoma" w:cs="Tahoma"/>
          <w:b/>
          <w:bCs/>
          <w:color w:val="000000"/>
          <w:sz w:val="22"/>
          <w:szCs w:val="22"/>
        </w:rPr>
        <w:t>.</w:t>
      </w:r>
    </w:p>
    <w:p w:rsidR="00B9049A" w:rsidRDefault="00B9049A" w:rsidP="009A70DF">
      <w:pPr>
        <w:pStyle w:val="Textoindependiente"/>
        <w:spacing w:line="360" w:lineRule="auto"/>
        <w:rPr>
          <w:rFonts w:ascii="Tahoma" w:hAnsi="Tahoma" w:cs="Tahoma"/>
          <w:b w:val="0"/>
          <w:bCs w:val="0"/>
          <w:color w:val="000000"/>
          <w:lang w:val="es-ES"/>
        </w:rPr>
      </w:pPr>
    </w:p>
    <w:p w:rsidR="00B9049A" w:rsidRDefault="00B9049A" w:rsidP="00250014">
      <w:pPr>
        <w:spacing w:line="360" w:lineRule="auto"/>
        <w:ind w:right="-1"/>
        <w:jc w:val="both"/>
        <w:rPr>
          <w:rFonts w:ascii="Tahoma" w:hAnsi="Tahoma" w:cs="Tahoma"/>
          <w:color w:val="000000"/>
          <w:sz w:val="22"/>
          <w:szCs w:val="22"/>
        </w:rPr>
      </w:pPr>
      <w:r>
        <w:rPr>
          <w:rFonts w:ascii="Tahoma" w:hAnsi="Tahoma" w:cs="Tahoma"/>
          <w:color w:val="000000"/>
          <w:sz w:val="22"/>
          <w:szCs w:val="22"/>
        </w:rPr>
        <w:t>C</w:t>
      </w:r>
      <w:r w:rsidRPr="00C33814">
        <w:rPr>
          <w:rFonts w:ascii="Tahoma" w:hAnsi="Tahoma" w:cs="Tahoma"/>
          <w:color w:val="000000"/>
          <w:sz w:val="22"/>
          <w:szCs w:val="22"/>
        </w:rPr>
        <w:t>omo consecuencia del RDL 4/2012, de 24 de febrero, por el que se determinan obligaciones de información y procedimientos necesarios para establecer un mecanismo de financiación para el pago a los proveedores de las entidades locales, el Pleno de esta Corporación aprobó el 30 de marzo de 2012 por unanimidad, el Plan de Ajuste del Cabildo Insular de Tenerife para el periodo 2012-2022 en términos consolidados</w:t>
      </w:r>
      <w:r>
        <w:rPr>
          <w:rFonts w:ascii="Tahoma" w:hAnsi="Tahoma" w:cs="Tahoma"/>
          <w:color w:val="000000"/>
          <w:sz w:val="22"/>
          <w:szCs w:val="22"/>
        </w:rPr>
        <w:t>,</w:t>
      </w:r>
      <w:r w:rsidRPr="00C33814">
        <w:rPr>
          <w:rFonts w:ascii="Tahoma" w:hAnsi="Tahoma" w:cs="Tahoma"/>
          <w:color w:val="000000"/>
          <w:sz w:val="22"/>
          <w:szCs w:val="22"/>
        </w:rPr>
        <w:t xml:space="preserve"> conforme a la normativa de estabilidad presupuestaria, permitiendo con ello a esta Corporación la concertación de una operación de endeudamiento a largo plazo, en las condiciones financieras fijadas por Acuerdo de la Comisión Delegada del Gobierno para Asuntos Económicos, con destino al pago a proveedores. El importe de dicha operación ascendió a 52 millones de euros</w:t>
      </w:r>
      <w:r>
        <w:rPr>
          <w:rFonts w:ascii="Tahoma" w:hAnsi="Tahoma" w:cs="Tahoma"/>
          <w:color w:val="000000"/>
          <w:sz w:val="22"/>
          <w:szCs w:val="22"/>
        </w:rPr>
        <w:t>.</w:t>
      </w:r>
    </w:p>
    <w:p w:rsidR="00B9049A" w:rsidRDefault="00B9049A" w:rsidP="00250014">
      <w:pPr>
        <w:spacing w:line="360" w:lineRule="auto"/>
        <w:ind w:right="-1"/>
        <w:jc w:val="both"/>
        <w:rPr>
          <w:rFonts w:ascii="Tahoma" w:hAnsi="Tahoma" w:cs="Tahoma"/>
          <w:color w:val="000000"/>
          <w:sz w:val="22"/>
          <w:szCs w:val="22"/>
        </w:rPr>
      </w:pPr>
    </w:p>
    <w:p w:rsidR="00B9049A" w:rsidRDefault="00B9049A" w:rsidP="00250014">
      <w:pPr>
        <w:spacing w:line="360" w:lineRule="auto"/>
        <w:ind w:right="-1"/>
        <w:jc w:val="both"/>
        <w:rPr>
          <w:rFonts w:ascii="Tahoma" w:hAnsi="Tahoma" w:cs="Tahoma"/>
          <w:color w:val="000000"/>
          <w:sz w:val="22"/>
          <w:szCs w:val="22"/>
        </w:rPr>
      </w:pPr>
      <w:r w:rsidRPr="00640043">
        <w:rPr>
          <w:rFonts w:ascii="Tahoma" w:hAnsi="Tahoma" w:cs="Tahoma"/>
          <w:color w:val="000000"/>
          <w:sz w:val="22"/>
          <w:szCs w:val="22"/>
        </w:rPr>
        <w:t xml:space="preserve">No obstante, en el ejercicio 2014 el Cabildo de Tenerife se acogió al mecanismo previsto en </w:t>
      </w:r>
      <w:r w:rsidRPr="00861568">
        <w:rPr>
          <w:rFonts w:ascii="Tahoma" w:hAnsi="Tahoma" w:cs="Tahoma"/>
          <w:color w:val="000000"/>
          <w:sz w:val="22"/>
          <w:szCs w:val="22"/>
        </w:rPr>
        <w:t>el RD</w:t>
      </w:r>
      <w:r w:rsidRPr="00640043">
        <w:rPr>
          <w:rFonts w:ascii="Tahoma" w:hAnsi="Tahoma" w:cs="Tahoma"/>
          <w:color w:val="000000"/>
          <w:sz w:val="22"/>
          <w:szCs w:val="22"/>
        </w:rPr>
        <w:t xml:space="preserve">L 8/2014, de 4 de julio, por el que se permitía refinanciar las operaciones concertadas con el Fondo para la Financiación de los Pagos a Proveedores. Dicha refinanciación se aprobó </w:t>
      </w:r>
      <w:r>
        <w:rPr>
          <w:rFonts w:ascii="Tahoma" w:hAnsi="Tahoma" w:cs="Tahoma"/>
          <w:color w:val="000000"/>
          <w:sz w:val="22"/>
          <w:szCs w:val="22"/>
        </w:rPr>
        <w:t xml:space="preserve">inicialmente </w:t>
      </w:r>
      <w:r w:rsidRPr="00640043">
        <w:rPr>
          <w:rFonts w:ascii="Tahoma" w:hAnsi="Tahoma" w:cs="Tahoma"/>
          <w:color w:val="000000"/>
          <w:sz w:val="22"/>
          <w:szCs w:val="22"/>
        </w:rPr>
        <w:t>mediante Acuerdo de Consejo de Gobierno de fecha 29 de septiembre por importe de 45.509.995,25 euros, a un plazo de 7 años</w:t>
      </w:r>
      <w:r>
        <w:rPr>
          <w:rFonts w:ascii="Tahoma" w:hAnsi="Tahoma" w:cs="Tahoma"/>
          <w:color w:val="000000"/>
          <w:sz w:val="22"/>
          <w:szCs w:val="22"/>
        </w:rPr>
        <w:t xml:space="preserve"> y posteriormente fue autorizada</w:t>
      </w:r>
      <w:r w:rsidRPr="00640043">
        <w:rPr>
          <w:rFonts w:ascii="Tahoma" w:hAnsi="Tahoma" w:cs="Tahoma"/>
          <w:color w:val="000000"/>
          <w:sz w:val="22"/>
          <w:szCs w:val="22"/>
        </w:rPr>
        <w:t xml:space="preserve"> por parte del Ministerio de Hacienda y Administraciones Públicas</w:t>
      </w:r>
      <w:r>
        <w:rPr>
          <w:rFonts w:ascii="Tahoma" w:hAnsi="Tahoma" w:cs="Tahoma"/>
          <w:color w:val="000000"/>
          <w:sz w:val="22"/>
          <w:szCs w:val="22"/>
        </w:rPr>
        <w:t xml:space="preserve"> al cumplir el Cabildo con los requisitos exigidos en la normativa.</w:t>
      </w:r>
      <w:r w:rsidRPr="00640043">
        <w:rPr>
          <w:rFonts w:ascii="Tahoma" w:hAnsi="Tahoma" w:cs="Tahoma"/>
          <w:color w:val="000000"/>
          <w:sz w:val="22"/>
          <w:szCs w:val="22"/>
        </w:rPr>
        <w:t xml:space="preserve"> </w:t>
      </w:r>
      <w:r>
        <w:rPr>
          <w:rFonts w:ascii="Tahoma" w:hAnsi="Tahoma" w:cs="Tahoma"/>
          <w:color w:val="000000"/>
          <w:sz w:val="22"/>
          <w:szCs w:val="22"/>
        </w:rPr>
        <w:t>U</w:t>
      </w:r>
      <w:r w:rsidRPr="00640043">
        <w:rPr>
          <w:rFonts w:ascii="Tahoma" w:hAnsi="Tahoma" w:cs="Tahoma"/>
          <w:color w:val="000000"/>
          <w:sz w:val="22"/>
          <w:szCs w:val="22"/>
        </w:rPr>
        <w:t xml:space="preserve">na vez </w:t>
      </w:r>
      <w:r>
        <w:rPr>
          <w:rFonts w:ascii="Tahoma" w:hAnsi="Tahoma" w:cs="Tahoma"/>
          <w:color w:val="000000"/>
          <w:sz w:val="22"/>
          <w:szCs w:val="22"/>
        </w:rPr>
        <w:t>formalizadas</w:t>
      </w:r>
      <w:r w:rsidRPr="00640043">
        <w:rPr>
          <w:rFonts w:ascii="Tahoma" w:hAnsi="Tahoma" w:cs="Tahoma"/>
          <w:color w:val="000000"/>
          <w:sz w:val="22"/>
          <w:szCs w:val="22"/>
        </w:rPr>
        <w:t xml:space="preserve"> las nuevas operaciones </w:t>
      </w:r>
      <w:r>
        <w:rPr>
          <w:rFonts w:ascii="Tahoma" w:hAnsi="Tahoma" w:cs="Tahoma"/>
          <w:color w:val="000000"/>
          <w:sz w:val="22"/>
          <w:szCs w:val="22"/>
        </w:rPr>
        <w:t xml:space="preserve">de refinanciación </w:t>
      </w:r>
      <w:r w:rsidRPr="00640043">
        <w:rPr>
          <w:rFonts w:ascii="Tahoma" w:hAnsi="Tahoma" w:cs="Tahoma"/>
          <w:color w:val="000000"/>
          <w:sz w:val="22"/>
          <w:szCs w:val="22"/>
        </w:rPr>
        <w:t>del RD</w:t>
      </w:r>
      <w:r>
        <w:rPr>
          <w:rFonts w:ascii="Tahoma" w:hAnsi="Tahoma" w:cs="Tahoma"/>
          <w:color w:val="000000"/>
          <w:sz w:val="22"/>
          <w:szCs w:val="22"/>
        </w:rPr>
        <w:t>L</w:t>
      </w:r>
      <w:r w:rsidRPr="00640043">
        <w:rPr>
          <w:rFonts w:ascii="Tahoma" w:hAnsi="Tahoma" w:cs="Tahoma"/>
          <w:color w:val="000000"/>
          <w:sz w:val="22"/>
          <w:szCs w:val="22"/>
        </w:rPr>
        <w:t xml:space="preserve"> 4/2012, de 24 de febrero</w:t>
      </w:r>
      <w:r>
        <w:rPr>
          <w:rFonts w:ascii="Tahoma" w:hAnsi="Tahoma" w:cs="Tahoma"/>
          <w:color w:val="000000"/>
          <w:sz w:val="22"/>
          <w:szCs w:val="22"/>
        </w:rPr>
        <w:t>, se</w:t>
      </w:r>
      <w:r w:rsidRPr="00640043">
        <w:rPr>
          <w:rFonts w:ascii="Tahoma" w:hAnsi="Tahoma" w:cs="Tahoma"/>
          <w:color w:val="000000"/>
          <w:sz w:val="22"/>
          <w:szCs w:val="22"/>
        </w:rPr>
        <w:t xml:space="preserve"> cancela</w:t>
      </w:r>
      <w:r>
        <w:rPr>
          <w:rFonts w:ascii="Tahoma" w:hAnsi="Tahoma" w:cs="Tahoma"/>
          <w:color w:val="000000"/>
          <w:sz w:val="22"/>
          <w:szCs w:val="22"/>
        </w:rPr>
        <w:t>ron</w:t>
      </w:r>
      <w:r w:rsidRPr="00640043">
        <w:rPr>
          <w:rFonts w:ascii="Tahoma" w:hAnsi="Tahoma" w:cs="Tahoma"/>
          <w:color w:val="000000"/>
          <w:sz w:val="22"/>
          <w:szCs w:val="22"/>
        </w:rPr>
        <w:t xml:space="preserve"> </w:t>
      </w:r>
      <w:r>
        <w:rPr>
          <w:rFonts w:ascii="Tahoma" w:hAnsi="Tahoma" w:cs="Tahoma"/>
          <w:color w:val="000000"/>
          <w:sz w:val="22"/>
          <w:szCs w:val="22"/>
        </w:rPr>
        <w:t xml:space="preserve">totalmente </w:t>
      </w:r>
      <w:r w:rsidRPr="00640043">
        <w:rPr>
          <w:rFonts w:ascii="Tahoma" w:hAnsi="Tahoma" w:cs="Tahoma"/>
          <w:color w:val="000000"/>
          <w:sz w:val="22"/>
          <w:szCs w:val="22"/>
        </w:rPr>
        <w:t xml:space="preserve">las </w:t>
      </w:r>
      <w:r>
        <w:rPr>
          <w:rFonts w:ascii="Tahoma" w:hAnsi="Tahoma" w:cs="Tahoma"/>
          <w:color w:val="000000"/>
          <w:sz w:val="22"/>
          <w:szCs w:val="22"/>
        </w:rPr>
        <w:t>anteriores.</w:t>
      </w:r>
    </w:p>
    <w:p w:rsidR="00B9049A" w:rsidRPr="00B74EB1" w:rsidRDefault="00B9049A" w:rsidP="00250014">
      <w:pPr>
        <w:spacing w:line="360" w:lineRule="auto"/>
        <w:ind w:right="-1"/>
        <w:jc w:val="both"/>
        <w:rPr>
          <w:rFonts w:ascii="Tahoma" w:hAnsi="Tahoma" w:cs="Tahoma"/>
          <w:color w:val="000000"/>
          <w:sz w:val="22"/>
          <w:szCs w:val="22"/>
        </w:rPr>
      </w:pPr>
    </w:p>
    <w:p w:rsidR="00B9049A" w:rsidRPr="00B74EB1" w:rsidRDefault="00B9049A" w:rsidP="00250014">
      <w:pPr>
        <w:spacing w:line="360" w:lineRule="auto"/>
        <w:ind w:right="-1"/>
        <w:jc w:val="both"/>
        <w:rPr>
          <w:rFonts w:ascii="Tahoma" w:hAnsi="Tahoma" w:cs="Tahoma"/>
          <w:color w:val="000000"/>
          <w:sz w:val="22"/>
          <w:szCs w:val="22"/>
        </w:rPr>
      </w:pPr>
      <w:r w:rsidRPr="00B74EB1">
        <w:rPr>
          <w:rFonts w:ascii="Tahoma" w:hAnsi="Tahoma" w:cs="Tahoma"/>
          <w:color w:val="000000"/>
          <w:sz w:val="22"/>
          <w:szCs w:val="22"/>
        </w:rPr>
        <w:t xml:space="preserve">Asimismo, dado que el Cabildo cumplió con todos los límites y reglas que establece el artículo 3, apartado 4 del RDL 8/2014, esto es, el objetivo de estabilidad presupuestaria, límite de deuda, regla de gasto y período medio de pago a proveedores por debajo de 30 días y considerando que se cancelaron totalmente los préstamos formalizados, </w:t>
      </w:r>
      <w:r>
        <w:rPr>
          <w:rFonts w:ascii="Tahoma" w:hAnsi="Tahoma" w:cs="Tahoma"/>
          <w:color w:val="000000"/>
          <w:sz w:val="22"/>
          <w:szCs w:val="22"/>
        </w:rPr>
        <w:t xml:space="preserve">quedó sin vigencia el </w:t>
      </w:r>
      <w:r w:rsidRPr="00B74EB1">
        <w:rPr>
          <w:rFonts w:ascii="Tahoma" w:hAnsi="Tahoma" w:cs="Tahoma"/>
          <w:color w:val="000000"/>
          <w:sz w:val="22"/>
          <w:szCs w:val="22"/>
        </w:rPr>
        <w:t>Plan de Ajuste aprobado</w:t>
      </w:r>
      <w:r>
        <w:rPr>
          <w:rFonts w:ascii="Tahoma" w:hAnsi="Tahoma" w:cs="Tahoma"/>
          <w:color w:val="000000"/>
          <w:sz w:val="22"/>
          <w:szCs w:val="22"/>
        </w:rPr>
        <w:t>.</w:t>
      </w:r>
    </w:p>
    <w:p w:rsidR="00B9049A" w:rsidRDefault="00B9049A" w:rsidP="00127E36">
      <w:pPr>
        <w:autoSpaceDE w:val="0"/>
        <w:autoSpaceDN w:val="0"/>
        <w:adjustRightInd w:val="0"/>
        <w:spacing w:line="360" w:lineRule="auto"/>
        <w:jc w:val="both"/>
        <w:rPr>
          <w:rFonts w:ascii="Tahoma" w:hAnsi="Tahoma" w:cs="Tahoma"/>
          <w:color w:val="000000"/>
          <w:sz w:val="22"/>
          <w:szCs w:val="22"/>
        </w:rPr>
      </w:pPr>
    </w:p>
    <w:p w:rsidR="00B9049A" w:rsidRDefault="00B9049A" w:rsidP="00127E36">
      <w:pPr>
        <w:autoSpaceDE w:val="0"/>
        <w:autoSpaceDN w:val="0"/>
        <w:adjustRightInd w:val="0"/>
        <w:spacing w:line="360" w:lineRule="auto"/>
        <w:jc w:val="both"/>
        <w:rPr>
          <w:rFonts w:ascii="Tahoma" w:hAnsi="Tahoma" w:cs="Tahoma"/>
          <w:color w:val="000000"/>
          <w:sz w:val="22"/>
          <w:szCs w:val="22"/>
        </w:rPr>
      </w:pPr>
      <w:r w:rsidRPr="00A06540">
        <w:rPr>
          <w:rFonts w:ascii="Tahoma" w:hAnsi="Tahoma" w:cs="Tahoma"/>
          <w:color w:val="000000"/>
          <w:sz w:val="22"/>
          <w:szCs w:val="22"/>
        </w:rPr>
        <w:t>En el ejercicio 2015, aunque esta Corporación no tenía previsto en su Presupuesto recurrir a la concertación de nuevas operaciones de crédito a largo plazo para financiar sus inversiones, toda vez que se preveía que las mismas se financiar</w:t>
      </w:r>
      <w:r>
        <w:rPr>
          <w:rFonts w:ascii="Tahoma" w:hAnsi="Tahoma" w:cs="Tahoma"/>
          <w:color w:val="000000"/>
          <w:sz w:val="22"/>
          <w:szCs w:val="22"/>
        </w:rPr>
        <w:t>í</w:t>
      </w:r>
      <w:r w:rsidRPr="00A06540">
        <w:rPr>
          <w:rFonts w:ascii="Tahoma" w:hAnsi="Tahoma" w:cs="Tahoma"/>
          <w:color w:val="000000"/>
          <w:sz w:val="22"/>
          <w:szCs w:val="22"/>
        </w:rPr>
        <w:t xml:space="preserve">an con ahorro bruto y con los ingresos de capital previstos, finalmente en el último trimestre del año optó por concertar una operación de préstamo </w:t>
      </w:r>
      <w:r w:rsidRPr="00A06540">
        <w:rPr>
          <w:rFonts w:ascii="Tahoma" w:hAnsi="Tahoma" w:cs="Tahoma"/>
          <w:color w:val="000000"/>
          <w:sz w:val="22"/>
          <w:szCs w:val="22"/>
        </w:rPr>
        <w:lastRenderedPageBreak/>
        <w:t>a largo plazo, cumpliendo con el principio de prudencia financiera, por importe de 28,3 millones de euros para financiar inversiones contenidas en su Presupuesto.</w:t>
      </w:r>
    </w:p>
    <w:p w:rsidR="00B9049A" w:rsidRDefault="00B9049A" w:rsidP="00127E36">
      <w:pPr>
        <w:autoSpaceDE w:val="0"/>
        <w:autoSpaceDN w:val="0"/>
        <w:adjustRightInd w:val="0"/>
        <w:spacing w:line="360" w:lineRule="auto"/>
        <w:jc w:val="both"/>
        <w:rPr>
          <w:rFonts w:ascii="Tahoma" w:hAnsi="Tahoma" w:cs="Tahoma"/>
          <w:color w:val="000000"/>
          <w:sz w:val="22"/>
          <w:szCs w:val="22"/>
        </w:rPr>
      </w:pPr>
    </w:p>
    <w:p w:rsidR="00B9049A" w:rsidRPr="00A06540" w:rsidRDefault="00B9049A" w:rsidP="00127E36">
      <w:pPr>
        <w:autoSpaceDE w:val="0"/>
        <w:autoSpaceDN w:val="0"/>
        <w:adjustRightInd w:val="0"/>
        <w:spacing w:line="360" w:lineRule="auto"/>
        <w:jc w:val="both"/>
        <w:rPr>
          <w:rFonts w:ascii="Tahoma" w:hAnsi="Tahoma" w:cs="Tahoma"/>
          <w:color w:val="000000"/>
          <w:sz w:val="22"/>
          <w:szCs w:val="22"/>
        </w:rPr>
      </w:pPr>
    </w:p>
    <w:p w:rsidR="00B9049A" w:rsidRPr="00E54DE1" w:rsidRDefault="00B9049A" w:rsidP="00A031EB">
      <w:pPr>
        <w:spacing w:after="240" w:line="360" w:lineRule="auto"/>
        <w:jc w:val="both"/>
        <w:rPr>
          <w:rFonts w:ascii="Tahoma" w:hAnsi="Tahoma" w:cs="Tahoma"/>
          <w:color w:val="000000"/>
          <w:sz w:val="22"/>
          <w:szCs w:val="22"/>
        </w:rPr>
      </w:pPr>
      <w:r w:rsidRPr="00E54DE1">
        <w:rPr>
          <w:rFonts w:ascii="Tahoma" w:hAnsi="Tahoma" w:cs="Tahoma"/>
          <w:color w:val="000000"/>
          <w:sz w:val="22"/>
          <w:szCs w:val="22"/>
        </w:rPr>
        <w:t>Ya en el ejercicio 2016, el Cabildo concertó una operación incluida inicialmente en su Presupuesto por importe de 24,6 millones de euros para financiar parte de sus inversiones. Al mismo tiempo, en cumplimiento de las previsiones legales establecidas tanto en la LOEPSF, en cuanto a la reducción del endeudamiento neto de las Corporaciones Locales contempladas en el artículo 32 y 12.5</w:t>
      </w:r>
      <w:r>
        <w:rPr>
          <w:rFonts w:ascii="Tahoma" w:hAnsi="Tahoma" w:cs="Tahoma"/>
          <w:color w:val="000000"/>
          <w:sz w:val="22"/>
          <w:szCs w:val="22"/>
        </w:rPr>
        <w:t>,</w:t>
      </w:r>
      <w:r w:rsidRPr="00E54DE1">
        <w:rPr>
          <w:rFonts w:ascii="Tahoma" w:hAnsi="Tahoma" w:cs="Tahoma"/>
          <w:color w:val="000000"/>
          <w:sz w:val="22"/>
          <w:szCs w:val="22"/>
        </w:rPr>
        <w:t xml:space="preserve"> así como en la Resolución de 16 de septiembre de 2016, de la Secretaría General del Tesoro y Política Financiera, por la que se define el principio de prudencia financiera, el Cabildo tramitó un expediente destinado por una parte, a la reducción de su endeudamiento en el ejercicio 2016 por importe total de 17,8 millones de euros con cargo al Remanente Líquido del ejercicio así como a mayores ingresos recaudados. Por otra parte, llevó a cabo </w:t>
      </w:r>
      <w:r>
        <w:rPr>
          <w:rFonts w:ascii="Tahoma" w:hAnsi="Tahoma" w:cs="Tahoma"/>
          <w:color w:val="000000"/>
          <w:sz w:val="22"/>
          <w:szCs w:val="22"/>
        </w:rPr>
        <w:t>la</w:t>
      </w:r>
      <w:r w:rsidRPr="00E54DE1">
        <w:rPr>
          <w:rFonts w:ascii="Tahoma" w:hAnsi="Tahoma" w:cs="Tahoma"/>
          <w:color w:val="000000"/>
          <w:sz w:val="22"/>
          <w:szCs w:val="22"/>
        </w:rPr>
        <w:t xml:space="preserve"> refinanciación de un conjunto de operaciones de préstamos preexistentes con el fin de abaratar sus condiciones económicas dentro de los términos de prudencia financiera, por importe de 91</w:t>
      </w:r>
      <w:r>
        <w:rPr>
          <w:rFonts w:ascii="Tahoma" w:hAnsi="Tahoma" w:cs="Tahoma"/>
          <w:color w:val="000000"/>
          <w:sz w:val="22"/>
          <w:szCs w:val="22"/>
        </w:rPr>
        <w:t>,</w:t>
      </w:r>
      <w:r w:rsidRPr="00E54DE1">
        <w:rPr>
          <w:rFonts w:ascii="Tahoma" w:hAnsi="Tahoma" w:cs="Tahoma"/>
          <w:color w:val="000000"/>
          <w:sz w:val="22"/>
          <w:szCs w:val="22"/>
        </w:rPr>
        <w:t>9</w:t>
      </w:r>
      <w:r>
        <w:rPr>
          <w:rFonts w:ascii="Tahoma" w:hAnsi="Tahoma" w:cs="Tahoma"/>
          <w:color w:val="000000"/>
          <w:sz w:val="22"/>
          <w:szCs w:val="22"/>
        </w:rPr>
        <w:t xml:space="preserve"> millones de </w:t>
      </w:r>
      <w:r w:rsidRPr="00E54DE1">
        <w:rPr>
          <w:rFonts w:ascii="Tahoma" w:hAnsi="Tahoma" w:cs="Tahoma"/>
          <w:color w:val="000000"/>
          <w:sz w:val="22"/>
          <w:szCs w:val="22"/>
        </w:rPr>
        <w:t>euros.</w:t>
      </w:r>
    </w:p>
    <w:p w:rsidR="00B9049A" w:rsidRDefault="00B9049A" w:rsidP="00127E36">
      <w:pPr>
        <w:autoSpaceDE w:val="0"/>
        <w:autoSpaceDN w:val="0"/>
        <w:adjustRightInd w:val="0"/>
        <w:spacing w:line="360" w:lineRule="auto"/>
        <w:jc w:val="both"/>
        <w:rPr>
          <w:rFonts w:ascii="Tahoma" w:hAnsi="Tahoma" w:cs="Tahoma"/>
          <w:color w:val="000000"/>
          <w:sz w:val="22"/>
          <w:szCs w:val="22"/>
        </w:rPr>
      </w:pPr>
      <w:r w:rsidRPr="00EF07C7">
        <w:rPr>
          <w:rFonts w:ascii="Tahoma" w:hAnsi="Tahoma" w:cs="Tahoma"/>
          <w:color w:val="000000"/>
          <w:sz w:val="22"/>
          <w:szCs w:val="22"/>
        </w:rPr>
        <w:t xml:space="preserve">Esta amortización anticipada de 17,8 millones </w:t>
      </w:r>
      <w:r>
        <w:rPr>
          <w:rFonts w:ascii="Tahoma" w:hAnsi="Tahoma" w:cs="Tahoma"/>
          <w:color w:val="000000"/>
          <w:sz w:val="22"/>
          <w:szCs w:val="22"/>
        </w:rPr>
        <w:t>se traducirá para la Corporación en</w:t>
      </w:r>
      <w:r w:rsidRPr="00EF07C7">
        <w:rPr>
          <w:rFonts w:ascii="Tahoma" w:hAnsi="Tahoma" w:cs="Tahoma"/>
          <w:color w:val="000000"/>
          <w:sz w:val="22"/>
          <w:szCs w:val="22"/>
        </w:rPr>
        <w:t xml:space="preserve"> un ahorro de costes de 1,7 millones de euros </w:t>
      </w:r>
      <w:r>
        <w:rPr>
          <w:rFonts w:ascii="Tahoma" w:hAnsi="Tahoma" w:cs="Tahoma"/>
          <w:color w:val="000000"/>
          <w:sz w:val="22"/>
          <w:szCs w:val="22"/>
        </w:rPr>
        <w:t xml:space="preserve">mientras que </w:t>
      </w:r>
      <w:r w:rsidRPr="00EF07C7">
        <w:rPr>
          <w:rFonts w:ascii="Tahoma" w:hAnsi="Tahoma" w:cs="Tahoma"/>
          <w:color w:val="000000"/>
          <w:sz w:val="22"/>
          <w:szCs w:val="22"/>
        </w:rPr>
        <w:t xml:space="preserve">la refinanciación de los 91,9 millones </w:t>
      </w:r>
      <w:r>
        <w:rPr>
          <w:rFonts w:ascii="Tahoma" w:hAnsi="Tahoma" w:cs="Tahoma"/>
          <w:color w:val="000000"/>
          <w:sz w:val="22"/>
          <w:szCs w:val="22"/>
        </w:rPr>
        <w:t xml:space="preserve">supondrá </w:t>
      </w:r>
      <w:r w:rsidRPr="00EF07C7">
        <w:rPr>
          <w:rFonts w:ascii="Tahoma" w:hAnsi="Tahoma" w:cs="Tahoma"/>
          <w:color w:val="000000"/>
          <w:sz w:val="22"/>
          <w:szCs w:val="22"/>
        </w:rPr>
        <w:t xml:space="preserve">un ahorro adicional de 7,1 millones por aplicación de </w:t>
      </w:r>
      <w:r>
        <w:rPr>
          <w:rFonts w:ascii="Tahoma" w:hAnsi="Tahoma" w:cs="Tahoma"/>
          <w:color w:val="000000"/>
          <w:sz w:val="22"/>
          <w:szCs w:val="22"/>
        </w:rPr>
        <w:t xml:space="preserve">menores </w:t>
      </w:r>
      <w:r w:rsidRPr="00EF07C7">
        <w:rPr>
          <w:rFonts w:ascii="Tahoma" w:hAnsi="Tahoma" w:cs="Tahoma"/>
          <w:color w:val="000000"/>
          <w:sz w:val="22"/>
          <w:szCs w:val="22"/>
        </w:rPr>
        <w:t>tipos de interés a lo largo de la vida de las operaciones</w:t>
      </w:r>
      <w:r>
        <w:rPr>
          <w:rFonts w:ascii="Tahoma" w:hAnsi="Tahoma" w:cs="Tahoma"/>
          <w:color w:val="000000"/>
          <w:sz w:val="22"/>
          <w:szCs w:val="22"/>
        </w:rPr>
        <w:t>, lo que hace un ahorro total de 8,8 millones de euros</w:t>
      </w:r>
      <w:r w:rsidRPr="00EF07C7">
        <w:rPr>
          <w:rFonts w:ascii="Tahoma" w:hAnsi="Tahoma" w:cs="Tahoma"/>
          <w:color w:val="000000"/>
          <w:sz w:val="22"/>
          <w:szCs w:val="22"/>
        </w:rPr>
        <w:t xml:space="preserve">. </w:t>
      </w:r>
    </w:p>
    <w:p w:rsidR="00B9049A" w:rsidRDefault="00B9049A" w:rsidP="00127E36">
      <w:pPr>
        <w:autoSpaceDE w:val="0"/>
        <w:autoSpaceDN w:val="0"/>
        <w:adjustRightInd w:val="0"/>
        <w:spacing w:line="360" w:lineRule="auto"/>
        <w:jc w:val="both"/>
        <w:rPr>
          <w:rFonts w:ascii="Tahoma" w:hAnsi="Tahoma" w:cs="Tahoma"/>
          <w:color w:val="000000"/>
          <w:sz w:val="22"/>
          <w:szCs w:val="22"/>
        </w:rPr>
      </w:pPr>
    </w:p>
    <w:p w:rsidR="00B9049A" w:rsidRDefault="00B9049A" w:rsidP="00127E36">
      <w:pPr>
        <w:autoSpaceDE w:val="0"/>
        <w:autoSpaceDN w:val="0"/>
        <w:adjustRightInd w:val="0"/>
        <w:spacing w:line="360" w:lineRule="auto"/>
        <w:jc w:val="both"/>
        <w:rPr>
          <w:rFonts w:ascii="Tahoma" w:hAnsi="Tahoma" w:cs="Tahoma"/>
          <w:color w:val="000000"/>
          <w:sz w:val="22"/>
          <w:szCs w:val="22"/>
        </w:rPr>
      </w:pPr>
      <w:r>
        <w:rPr>
          <w:rFonts w:ascii="Tahoma" w:hAnsi="Tahoma" w:cs="Tahoma"/>
          <w:color w:val="000000"/>
          <w:sz w:val="22"/>
          <w:szCs w:val="22"/>
        </w:rPr>
        <w:t>L</w:t>
      </w:r>
      <w:r w:rsidRPr="00EF07C7">
        <w:rPr>
          <w:rFonts w:ascii="Tahoma" w:hAnsi="Tahoma" w:cs="Tahoma"/>
          <w:color w:val="000000"/>
          <w:sz w:val="22"/>
          <w:szCs w:val="22"/>
        </w:rPr>
        <w:t xml:space="preserve">a </w:t>
      </w:r>
      <w:r>
        <w:rPr>
          <w:rFonts w:ascii="Tahoma" w:hAnsi="Tahoma" w:cs="Tahoma"/>
          <w:color w:val="000000"/>
          <w:sz w:val="22"/>
          <w:szCs w:val="22"/>
        </w:rPr>
        <w:t>refinanciación en dos tramos</w:t>
      </w:r>
      <w:r w:rsidRPr="00EF07C7">
        <w:rPr>
          <w:rFonts w:ascii="Tahoma" w:hAnsi="Tahoma" w:cs="Tahoma"/>
          <w:color w:val="000000"/>
          <w:sz w:val="22"/>
          <w:szCs w:val="22"/>
        </w:rPr>
        <w:t xml:space="preserve"> de </w:t>
      </w:r>
      <w:r>
        <w:rPr>
          <w:rFonts w:ascii="Tahoma" w:hAnsi="Tahoma" w:cs="Tahoma"/>
          <w:color w:val="000000"/>
          <w:sz w:val="22"/>
          <w:szCs w:val="22"/>
        </w:rPr>
        <w:t xml:space="preserve">estas </w:t>
      </w:r>
      <w:r w:rsidRPr="00EF07C7">
        <w:rPr>
          <w:rFonts w:ascii="Tahoma" w:hAnsi="Tahoma" w:cs="Tahoma"/>
          <w:color w:val="000000"/>
          <w:sz w:val="22"/>
          <w:szCs w:val="22"/>
        </w:rPr>
        <w:t>operaciones de pr</w:t>
      </w:r>
      <w:r>
        <w:rPr>
          <w:rFonts w:ascii="Tahoma" w:hAnsi="Tahoma" w:cs="Tahoma"/>
          <w:color w:val="000000"/>
          <w:sz w:val="22"/>
          <w:szCs w:val="22"/>
        </w:rPr>
        <w:t>éstamos a largo plazo, supuso reconvertir</w:t>
      </w:r>
      <w:r w:rsidRPr="00EF07C7">
        <w:rPr>
          <w:rFonts w:ascii="Tahoma" w:hAnsi="Tahoma" w:cs="Tahoma"/>
          <w:color w:val="000000"/>
          <w:sz w:val="22"/>
          <w:szCs w:val="22"/>
        </w:rPr>
        <w:t xml:space="preserve"> </w:t>
      </w:r>
      <w:r>
        <w:rPr>
          <w:rFonts w:ascii="Tahoma" w:hAnsi="Tahoma" w:cs="Tahoma"/>
          <w:color w:val="000000"/>
          <w:sz w:val="22"/>
          <w:szCs w:val="22"/>
        </w:rPr>
        <w:t xml:space="preserve">por un lado </w:t>
      </w:r>
      <w:r w:rsidRPr="00EF07C7">
        <w:rPr>
          <w:rFonts w:ascii="Tahoma" w:hAnsi="Tahoma" w:cs="Tahoma"/>
          <w:color w:val="000000"/>
          <w:sz w:val="22"/>
          <w:szCs w:val="22"/>
        </w:rPr>
        <w:t xml:space="preserve">una deuda viva de 53,1 millones de euros </w:t>
      </w:r>
      <w:r>
        <w:rPr>
          <w:rFonts w:ascii="Tahoma" w:hAnsi="Tahoma" w:cs="Tahoma"/>
          <w:color w:val="000000"/>
          <w:sz w:val="22"/>
          <w:szCs w:val="22"/>
        </w:rPr>
        <w:t xml:space="preserve">con </w:t>
      </w:r>
      <w:r w:rsidRPr="00EF07C7">
        <w:rPr>
          <w:rFonts w:ascii="Tahoma" w:hAnsi="Tahoma" w:cs="Tahoma"/>
          <w:color w:val="000000"/>
          <w:sz w:val="22"/>
          <w:szCs w:val="22"/>
        </w:rPr>
        <w:t xml:space="preserve">tipos medios de 182 puntos básicos, considerando el </w:t>
      </w:r>
      <w:proofErr w:type="spellStart"/>
      <w:r w:rsidRPr="00EF07C7">
        <w:rPr>
          <w:rFonts w:ascii="Tahoma" w:hAnsi="Tahoma" w:cs="Tahoma"/>
          <w:color w:val="000000"/>
          <w:sz w:val="22"/>
          <w:szCs w:val="22"/>
        </w:rPr>
        <w:t>euríbor</w:t>
      </w:r>
      <w:proofErr w:type="spellEnd"/>
      <w:r w:rsidRPr="00EF07C7">
        <w:rPr>
          <w:rFonts w:ascii="Tahoma" w:hAnsi="Tahoma" w:cs="Tahoma"/>
          <w:color w:val="000000"/>
          <w:sz w:val="22"/>
          <w:szCs w:val="22"/>
        </w:rPr>
        <w:t xml:space="preserve"> a</w:t>
      </w:r>
      <w:r>
        <w:rPr>
          <w:rFonts w:ascii="Tahoma" w:hAnsi="Tahoma" w:cs="Tahoma"/>
          <w:color w:val="000000"/>
          <w:sz w:val="22"/>
          <w:szCs w:val="22"/>
        </w:rPr>
        <w:t>l</w:t>
      </w:r>
      <w:r w:rsidRPr="00EF07C7">
        <w:rPr>
          <w:rFonts w:ascii="Tahoma" w:hAnsi="Tahoma" w:cs="Tahoma"/>
          <w:color w:val="000000"/>
          <w:sz w:val="22"/>
          <w:szCs w:val="22"/>
        </w:rPr>
        <w:t xml:space="preserve"> cero por ciento, </w:t>
      </w:r>
      <w:r>
        <w:rPr>
          <w:rFonts w:ascii="Tahoma" w:hAnsi="Tahoma" w:cs="Tahoma"/>
          <w:color w:val="000000"/>
          <w:sz w:val="22"/>
          <w:szCs w:val="22"/>
        </w:rPr>
        <w:t>en</w:t>
      </w:r>
      <w:r w:rsidRPr="00EF07C7">
        <w:rPr>
          <w:rFonts w:ascii="Tahoma" w:hAnsi="Tahoma" w:cs="Tahoma"/>
          <w:color w:val="000000"/>
          <w:sz w:val="22"/>
          <w:szCs w:val="22"/>
        </w:rPr>
        <w:t xml:space="preserve"> tipos medios de 62 puntos básicos y </w:t>
      </w:r>
      <w:r>
        <w:rPr>
          <w:rFonts w:ascii="Tahoma" w:hAnsi="Tahoma" w:cs="Tahoma"/>
          <w:color w:val="000000"/>
          <w:sz w:val="22"/>
          <w:szCs w:val="22"/>
        </w:rPr>
        <w:t xml:space="preserve">por otro reconvertir una </w:t>
      </w:r>
      <w:r w:rsidRPr="00EF07C7">
        <w:rPr>
          <w:rFonts w:ascii="Tahoma" w:hAnsi="Tahoma" w:cs="Tahoma"/>
          <w:color w:val="000000"/>
          <w:sz w:val="22"/>
          <w:szCs w:val="22"/>
        </w:rPr>
        <w:t xml:space="preserve">deuda de 38,8 millones </w:t>
      </w:r>
      <w:r>
        <w:rPr>
          <w:rFonts w:ascii="Tahoma" w:hAnsi="Tahoma" w:cs="Tahoma"/>
          <w:color w:val="000000"/>
          <w:sz w:val="22"/>
          <w:szCs w:val="22"/>
        </w:rPr>
        <w:t>con</w:t>
      </w:r>
      <w:r w:rsidRPr="00EF07C7">
        <w:rPr>
          <w:rFonts w:ascii="Tahoma" w:hAnsi="Tahoma" w:cs="Tahoma"/>
          <w:color w:val="000000"/>
          <w:sz w:val="22"/>
          <w:szCs w:val="22"/>
        </w:rPr>
        <w:t xml:space="preserve"> tipos medios de 163 puntos básicos </w:t>
      </w:r>
      <w:r>
        <w:rPr>
          <w:rFonts w:ascii="Tahoma" w:hAnsi="Tahoma" w:cs="Tahoma"/>
          <w:color w:val="000000"/>
          <w:sz w:val="22"/>
          <w:szCs w:val="22"/>
        </w:rPr>
        <w:t>en</w:t>
      </w:r>
      <w:r w:rsidRPr="00EF07C7">
        <w:rPr>
          <w:rFonts w:ascii="Tahoma" w:hAnsi="Tahoma" w:cs="Tahoma"/>
          <w:color w:val="000000"/>
          <w:sz w:val="22"/>
          <w:szCs w:val="22"/>
        </w:rPr>
        <w:t xml:space="preserve"> </w:t>
      </w:r>
      <w:r>
        <w:rPr>
          <w:rFonts w:ascii="Tahoma" w:hAnsi="Tahoma" w:cs="Tahoma"/>
          <w:color w:val="000000"/>
          <w:sz w:val="22"/>
          <w:szCs w:val="22"/>
        </w:rPr>
        <w:t>t</w:t>
      </w:r>
      <w:r w:rsidRPr="00EF07C7">
        <w:rPr>
          <w:rFonts w:ascii="Tahoma" w:hAnsi="Tahoma" w:cs="Tahoma"/>
          <w:color w:val="000000"/>
          <w:sz w:val="22"/>
          <w:szCs w:val="22"/>
        </w:rPr>
        <w:t>ipos medios de 48 puntos básicos.</w:t>
      </w:r>
    </w:p>
    <w:p w:rsidR="00B9049A" w:rsidRDefault="00B9049A" w:rsidP="00127E36">
      <w:pPr>
        <w:autoSpaceDE w:val="0"/>
        <w:autoSpaceDN w:val="0"/>
        <w:adjustRightInd w:val="0"/>
        <w:spacing w:line="360" w:lineRule="auto"/>
        <w:jc w:val="both"/>
        <w:rPr>
          <w:rFonts w:ascii="Tahoma" w:hAnsi="Tahoma" w:cs="Tahoma"/>
          <w:color w:val="000000"/>
          <w:sz w:val="22"/>
          <w:szCs w:val="22"/>
        </w:rPr>
      </w:pPr>
    </w:p>
    <w:p w:rsidR="00B9049A" w:rsidRDefault="00B9049A" w:rsidP="00060C6F">
      <w:pPr>
        <w:spacing w:after="120" w:line="360" w:lineRule="auto"/>
        <w:jc w:val="both"/>
        <w:rPr>
          <w:rFonts w:ascii="Tahoma" w:hAnsi="Tahoma" w:cs="Tahoma"/>
          <w:color w:val="FF0000"/>
          <w:sz w:val="22"/>
          <w:szCs w:val="22"/>
        </w:rPr>
      </w:pPr>
      <w:r>
        <w:rPr>
          <w:rFonts w:ascii="Tahoma" w:hAnsi="Tahoma" w:cs="Tahoma"/>
          <w:sz w:val="22"/>
          <w:szCs w:val="22"/>
        </w:rPr>
        <w:t>En 2017</w:t>
      </w:r>
      <w:r w:rsidRPr="00CB1A63">
        <w:rPr>
          <w:rFonts w:ascii="Tahoma" w:hAnsi="Tahoma" w:cs="Tahoma"/>
          <w:sz w:val="22"/>
          <w:szCs w:val="22"/>
        </w:rPr>
        <w:t xml:space="preserve">, </w:t>
      </w:r>
      <w:r>
        <w:rPr>
          <w:rFonts w:ascii="Tahoma" w:hAnsi="Tahoma" w:cs="Tahoma"/>
          <w:sz w:val="22"/>
          <w:szCs w:val="22"/>
        </w:rPr>
        <w:t>esta Corporación</w:t>
      </w:r>
      <w:r w:rsidRPr="00CB1A63">
        <w:rPr>
          <w:rFonts w:ascii="Tahoma" w:hAnsi="Tahoma" w:cs="Tahoma"/>
          <w:sz w:val="22"/>
          <w:szCs w:val="22"/>
        </w:rPr>
        <w:t xml:space="preserve"> </w:t>
      </w:r>
      <w:r>
        <w:rPr>
          <w:rFonts w:ascii="Tahoma" w:hAnsi="Tahoma" w:cs="Tahoma"/>
          <w:sz w:val="22"/>
          <w:szCs w:val="22"/>
        </w:rPr>
        <w:t>está tramitando un expediente de reducción del endeudamiento neto por importe de 21,7 millones de euros tanto para dar cumplimiento a</w:t>
      </w:r>
      <w:r w:rsidRPr="00AA35E9">
        <w:rPr>
          <w:rFonts w:ascii="Tahoma" w:hAnsi="Tahoma" w:cs="Tahoma"/>
          <w:sz w:val="22"/>
          <w:szCs w:val="22"/>
        </w:rPr>
        <w:t>l artícu</w:t>
      </w:r>
      <w:r>
        <w:rPr>
          <w:rFonts w:ascii="Tahoma" w:hAnsi="Tahoma" w:cs="Tahoma"/>
          <w:sz w:val="22"/>
          <w:szCs w:val="22"/>
        </w:rPr>
        <w:t>l</w:t>
      </w:r>
      <w:r w:rsidRPr="00AA35E9">
        <w:rPr>
          <w:rFonts w:ascii="Tahoma" w:hAnsi="Tahoma" w:cs="Tahoma"/>
          <w:sz w:val="22"/>
          <w:szCs w:val="22"/>
        </w:rPr>
        <w:t>o 32 de la LOEPSF</w:t>
      </w:r>
      <w:r>
        <w:rPr>
          <w:rFonts w:ascii="Tahoma" w:hAnsi="Tahoma" w:cs="Tahoma"/>
          <w:sz w:val="22"/>
          <w:szCs w:val="22"/>
        </w:rPr>
        <w:t>, como para aplicar e</w:t>
      </w:r>
      <w:r>
        <w:rPr>
          <w:rFonts w:ascii="Tahoma" w:hAnsi="Tahoma" w:cs="Tahoma"/>
          <w:color w:val="000000"/>
          <w:sz w:val="22"/>
          <w:szCs w:val="22"/>
        </w:rPr>
        <w:t>l exceso de financiación afectada, correspondiente a</w:t>
      </w:r>
      <w:r>
        <w:rPr>
          <w:rFonts w:ascii="Tahoma" w:hAnsi="Tahoma" w:cs="Tahoma"/>
          <w:sz w:val="22"/>
          <w:szCs w:val="22"/>
        </w:rPr>
        <w:t xml:space="preserve"> saldos de crédito que tienen carácter finalista y que no se van a ejecutar de la operación de préstamo concertada en 2016 para la financiación de inversiones.</w:t>
      </w:r>
    </w:p>
    <w:p w:rsidR="00B9049A" w:rsidRDefault="00B9049A" w:rsidP="00127E36">
      <w:pPr>
        <w:autoSpaceDE w:val="0"/>
        <w:autoSpaceDN w:val="0"/>
        <w:adjustRightInd w:val="0"/>
        <w:spacing w:line="360" w:lineRule="auto"/>
        <w:jc w:val="both"/>
        <w:rPr>
          <w:rFonts w:ascii="Tahoma" w:hAnsi="Tahoma" w:cs="Tahoma"/>
          <w:color w:val="000000"/>
          <w:sz w:val="22"/>
          <w:szCs w:val="22"/>
        </w:rPr>
      </w:pPr>
    </w:p>
    <w:p w:rsidR="00B9049A" w:rsidRDefault="00B9049A" w:rsidP="00127E36">
      <w:pPr>
        <w:autoSpaceDE w:val="0"/>
        <w:autoSpaceDN w:val="0"/>
        <w:adjustRightInd w:val="0"/>
        <w:spacing w:line="360" w:lineRule="auto"/>
        <w:jc w:val="both"/>
        <w:rPr>
          <w:rFonts w:ascii="Tahoma" w:hAnsi="Tahoma" w:cs="Tahoma"/>
          <w:color w:val="000000"/>
          <w:sz w:val="22"/>
          <w:szCs w:val="22"/>
        </w:rPr>
      </w:pPr>
    </w:p>
    <w:p w:rsidR="00B9049A" w:rsidRDefault="00B9049A" w:rsidP="00127E36">
      <w:pPr>
        <w:autoSpaceDE w:val="0"/>
        <w:autoSpaceDN w:val="0"/>
        <w:adjustRightInd w:val="0"/>
        <w:spacing w:line="360" w:lineRule="auto"/>
        <w:jc w:val="both"/>
        <w:rPr>
          <w:rFonts w:ascii="Tahoma" w:hAnsi="Tahoma" w:cs="Tahoma"/>
          <w:color w:val="000000"/>
          <w:sz w:val="22"/>
          <w:szCs w:val="22"/>
        </w:rPr>
      </w:pPr>
    </w:p>
    <w:p w:rsidR="00B9049A" w:rsidRDefault="00B9049A" w:rsidP="00127E36">
      <w:pPr>
        <w:autoSpaceDE w:val="0"/>
        <w:autoSpaceDN w:val="0"/>
        <w:adjustRightInd w:val="0"/>
        <w:spacing w:line="360" w:lineRule="auto"/>
        <w:jc w:val="both"/>
        <w:rPr>
          <w:rFonts w:ascii="Tahoma" w:hAnsi="Tahoma" w:cs="Tahoma"/>
          <w:color w:val="000000"/>
          <w:sz w:val="22"/>
          <w:szCs w:val="22"/>
        </w:rPr>
      </w:pPr>
    </w:p>
    <w:p w:rsidR="00B9049A" w:rsidRPr="00084298" w:rsidRDefault="00B9049A" w:rsidP="000D6DAE">
      <w:pPr>
        <w:autoSpaceDE w:val="0"/>
        <w:autoSpaceDN w:val="0"/>
        <w:adjustRightInd w:val="0"/>
        <w:spacing w:line="360" w:lineRule="auto"/>
        <w:jc w:val="both"/>
        <w:outlineLvl w:val="0"/>
        <w:rPr>
          <w:rFonts w:ascii="Tahoma" w:hAnsi="Tahoma" w:cs="Tahoma"/>
          <w:b/>
          <w:bCs/>
          <w:sz w:val="22"/>
          <w:szCs w:val="22"/>
          <w:u w:val="single"/>
        </w:rPr>
      </w:pPr>
      <w:r>
        <w:rPr>
          <w:rFonts w:ascii="Tahoma" w:hAnsi="Tahoma" w:cs="Tahoma"/>
          <w:b/>
          <w:bCs/>
          <w:sz w:val="22"/>
          <w:szCs w:val="22"/>
          <w:u w:val="single"/>
        </w:rPr>
        <w:t>3</w:t>
      </w:r>
      <w:r w:rsidRPr="00084298">
        <w:rPr>
          <w:rFonts w:ascii="Tahoma" w:hAnsi="Tahoma" w:cs="Tahoma"/>
          <w:b/>
          <w:bCs/>
          <w:sz w:val="22"/>
          <w:szCs w:val="22"/>
          <w:u w:val="single"/>
        </w:rPr>
        <w:t>.1. Previsiones de evolución del endeudamiento</w:t>
      </w:r>
      <w:r w:rsidRPr="00084298">
        <w:rPr>
          <w:rFonts w:ascii="Tahoma" w:hAnsi="Tahoma" w:cs="Tahoma"/>
          <w:b/>
          <w:bCs/>
          <w:sz w:val="22"/>
          <w:szCs w:val="22"/>
        </w:rPr>
        <w:t>.</w:t>
      </w:r>
    </w:p>
    <w:p w:rsidR="00B9049A" w:rsidRDefault="00B9049A" w:rsidP="00375B8E">
      <w:pPr>
        <w:autoSpaceDE w:val="0"/>
        <w:autoSpaceDN w:val="0"/>
        <w:adjustRightInd w:val="0"/>
        <w:spacing w:line="360" w:lineRule="auto"/>
        <w:jc w:val="both"/>
        <w:rPr>
          <w:rFonts w:ascii="Tahoma" w:hAnsi="Tahoma" w:cs="Tahoma"/>
          <w:sz w:val="22"/>
          <w:szCs w:val="22"/>
        </w:rPr>
      </w:pPr>
      <w:r w:rsidRPr="00EF39E2">
        <w:rPr>
          <w:rFonts w:ascii="Tahoma" w:hAnsi="Tahoma" w:cs="Tahoma"/>
          <w:sz w:val="22"/>
          <w:szCs w:val="22"/>
        </w:rPr>
        <w:t xml:space="preserve">El art. 166.1.d) </w:t>
      </w:r>
      <w:r w:rsidRPr="00C33814">
        <w:rPr>
          <w:rFonts w:ascii="Tahoma" w:hAnsi="Tahoma" w:cs="Tahoma"/>
          <w:color w:val="000000"/>
          <w:sz w:val="22"/>
          <w:szCs w:val="22"/>
        </w:rPr>
        <w:t>del</w:t>
      </w:r>
      <w:r>
        <w:rPr>
          <w:rFonts w:ascii="Tahoma" w:hAnsi="Tahoma" w:cs="Tahoma"/>
          <w:sz w:val="22"/>
          <w:szCs w:val="22"/>
        </w:rPr>
        <w:t xml:space="preserve"> </w:t>
      </w:r>
      <w:r w:rsidRPr="00EF39E2">
        <w:rPr>
          <w:rFonts w:ascii="Tahoma" w:hAnsi="Tahoma" w:cs="Tahoma"/>
          <w:sz w:val="22"/>
          <w:szCs w:val="22"/>
        </w:rPr>
        <w:t xml:space="preserve">TRLRHL dispone que al presupuesto general se unirá como anexo </w:t>
      </w:r>
      <w:r w:rsidRPr="00EF39E2">
        <w:rPr>
          <w:rFonts w:ascii="Tahoma" w:hAnsi="Tahoma" w:cs="Tahoma"/>
          <w:i/>
          <w:iCs/>
          <w:sz w:val="22"/>
          <w:szCs w:val="22"/>
        </w:rPr>
        <w:t xml:space="preserve">“El estado de previsión de movimientos y situación de la deuda comprensiva del detalle de operaciones de crédito o de endeudamiento pendientes de reembolso al principio del ejercicio, de las nuevas operaciones previstas a realizar a lo largo del ejercicio y del volumen de endeudamiento al cierre del ejercicio económico, con distinción de operaciones a corto plazo, operaciones a largo plazo, de recurrencia al mercado de capitales y realizadas en divisas o similares, así como de las amortizaciones que se prevén realizar durante el mismo ejercicio”. </w:t>
      </w:r>
      <w:r>
        <w:rPr>
          <w:rFonts w:ascii="Tahoma" w:hAnsi="Tahoma" w:cs="Tahoma"/>
          <w:sz w:val="22"/>
          <w:szCs w:val="22"/>
        </w:rPr>
        <w:t>E</w:t>
      </w:r>
      <w:r w:rsidRPr="00EF39E2">
        <w:rPr>
          <w:rFonts w:ascii="Tahoma" w:hAnsi="Tahoma" w:cs="Tahoma"/>
          <w:sz w:val="22"/>
          <w:szCs w:val="22"/>
        </w:rPr>
        <w:t xml:space="preserve">n el siguiente cuadro se recoge la información requerida en el citado </w:t>
      </w:r>
      <w:r w:rsidRPr="0033374F">
        <w:rPr>
          <w:rFonts w:ascii="Tahoma" w:hAnsi="Tahoma" w:cs="Tahoma"/>
          <w:color w:val="000000"/>
          <w:sz w:val="22"/>
          <w:szCs w:val="22"/>
        </w:rPr>
        <w:t>anexo</w:t>
      </w:r>
      <w:r w:rsidRPr="00EF39E2">
        <w:rPr>
          <w:rFonts w:ascii="Tahoma" w:hAnsi="Tahoma" w:cs="Tahoma"/>
          <w:sz w:val="22"/>
          <w:szCs w:val="22"/>
        </w:rPr>
        <w:t>:</w:t>
      </w:r>
    </w:p>
    <w:p w:rsidR="00B9049A" w:rsidRDefault="00B9049A" w:rsidP="00375B8E">
      <w:pPr>
        <w:autoSpaceDE w:val="0"/>
        <w:autoSpaceDN w:val="0"/>
        <w:adjustRightInd w:val="0"/>
        <w:spacing w:line="360" w:lineRule="auto"/>
        <w:jc w:val="both"/>
        <w:rPr>
          <w:rFonts w:ascii="Tahoma" w:hAnsi="Tahoma" w:cs="Tahoma"/>
          <w:sz w:val="22"/>
          <w:szCs w:val="22"/>
        </w:rPr>
      </w:pPr>
    </w:p>
    <w:p w:rsidR="00B9049A" w:rsidRPr="00235A7F" w:rsidRDefault="0026194C" w:rsidP="00375B8E">
      <w:pPr>
        <w:autoSpaceDE w:val="0"/>
        <w:autoSpaceDN w:val="0"/>
        <w:adjustRightInd w:val="0"/>
        <w:spacing w:line="360" w:lineRule="auto"/>
        <w:jc w:val="both"/>
        <w:rPr>
          <w:rFonts w:ascii="Tahoma" w:hAnsi="Tahoma" w:cs="Tahoma"/>
          <w:sz w:val="22"/>
          <w:szCs w:val="22"/>
        </w:rPr>
      </w:pPr>
      <w:r>
        <w:rPr>
          <w:noProof/>
        </w:rPr>
        <w:drawing>
          <wp:inline distT="0" distB="0" distL="0" distR="0">
            <wp:extent cx="5994400" cy="5638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994400" cy="5638800"/>
                    </a:xfrm>
                    <a:prstGeom prst="rect">
                      <a:avLst/>
                    </a:prstGeom>
                    <a:noFill/>
                    <a:ln w="9525">
                      <a:noFill/>
                      <a:miter lim="800000"/>
                      <a:headEnd/>
                      <a:tailEnd/>
                    </a:ln>
                  </pic:spPr>
                </pic:pic>
              </a:graphicData>
            </a:graphic>
          </wp:inline>
        </w:drawing>
      </w:r>
    </w:p>
    <w:p w:rsidR="00B9049A" w:rsidRPr="00040200" w:rsidRDefault="00B9049A" w:rsidP="00375B8E">
      <w:pPr>
        <w:autoSpaceDE w:val="0"/>
        <w:autoSpaceDN w:val="0"/>
        <w:adjustRightInd w:val="0"/>
        <w:spacing w:line="360" w:lineRule="auto"/>
        <w:jc w:val="both"/>
        <w:rPr>
          <w:rFonts w:ascii="Tahoma" w:hAnsi="Tahoma" w:cs="Tahoma"/>
          <w:sz w:val="22"/>
          <w:szCs w:val="22"/>
        </w:rPr>
      </w:pPr>
    </w:p>
    <w:p w:rsidR="00B9049A" w:rsidRDefault="00B9049A" w:rsidP="00375B8E">
      <w:pPr>
        <w:autoSpaceDE w:val="0"/>
        <w:autoSpaceDN w:val="0"/>
        <w:adjustRightInd w:val="0"/>
        <w:spacing w:line="360" w:lineRule="auto"/>
        <w:jc w:val="both"/>
        <w:rPr>
          <w:rFonts w:ascii="Tahoma" w:hAnsi="Tahoma" w:cs="Tahoma"/>
          <w:sz w:val="22"/>
          <w:szCs w:val="22"/>
        </w:rPr>
      </w:pPr>
    </w:p>
    <w:p w:rsidR="00B9049A" w:rsidRPr="00C62111" w:rsidRDefault="00B9049A" w:rsidP="00424EEA">
      <w:pPr>
        <w:pStyle w:val="Textoindependiente"/>
        <w:spacing w:line="360" w:lineRule="auto"/>
        <w:rPr>
          <w:rFonts w:ascii="Tahoma" w:hAnsi="Tahoma" w:cs="Tahoma"/>
          <w:bCs w:val="0"/>
          <w:color w:val="000000"/>
          <w:lang w:val="es-ES"/>
        </w:rPr>
      </w:pPr>
      <w:r w:rsidRPr="00417C1D">
        <w:rPr>
          <w:rFonts w:ascii="Tahoma" w:hAnsi="Tahoma" w:cs="Tahoma"/>
          <w:b w:val="0"/>
          <w:bCs w:val="0"/>
          <w:color w:val="000000"/>
          <w:lang w:val="es-ES"/>
        </w:rPr>
        <w:t xml:space="preserve">Hay que tener en cuenta </w:t>
      </w:r>
      <w:r w:rsidRPr="00286886">
        <w:rPr>
          <w:rFonts w:ascii="Tahoma" w:hAnsi="Tahoma" w:cs="Tahoma"/>
          <w:b w:val="0"/>
          <w:bCs w:val="0"/>
          <w:color w:val="000000"/>
          <w:lang w:val="es-ES"/>
        </w:rPr>
        <w:t>que</w:t>
      </w:r>
      <w:r w:rsidRPr="007E08DD">
        <w:rPr>
          <w:rFonts w:ascii="Tahoma" w:hAnsi="Tahoma" w:cs="Tahoma"/>
          <w:bCs w:val="0"/>
          <w:color w:val="000000"/>
          <w:lang w:val="es-ES"/>
        </w:rPr>
        <w:t xml:space="preserve"> el Cabildo, como ente matriz, en el período comprendido entre 2010 y 201</w:t>
      </w:r>
      <w:r>
        <w:rPr>
          <w:rFonts w:ascii="Tahoma" w:hAnsi="Tahoma" w:cs="Tahoma"/>
          <w:bCs w:val="0"/>
          <w:color w:val="000000"/>
          <w:lang w:val="es-ES"/>
        </w:rPr>
        <w:t>8</w:t>
      </w:r>
      <w:r w:rsidRPr="007E08DD">
        <w:rPr>
          <w:rFonts w:ascii="Tahoma" w:hAnsi="Tahoma" w:cs="Tahoma"/>
          <w:bCs w:val="0"/>
          <w:color w:val="000000"/>
          <w:lang w:val="es-ES"/>
        </w:rPr>
        <w:t xml:space="preserve"> va a disminuir su endeudamiento </w:t>
      </w:r>
      <w:r w:rsidRPr="00C62111">
        <w:rPr>
          <w:rFonts w:ascii="Tahoma" w:hAnsi="Tahoma" w:cs="Tahoma"/>
          <w:bCs w:val="0"/>
          <w:color w:val="000000"/>
          <w:lang w:val="es-ES"/>
        </w:rPr>
        <w:t xml:space="preserve">en </w:t>
      </w:r>
      <w:r>
        <w:rPr>
          <w:rFonts w:ascii="Tahoma" w:hAnsi="Tahoma" w:cs="Tahoma"/>
          <w:bCs w:val="0"/>
          <w:color w:val="000000"/>
          <w:lang w:val="es-ES"/>
        </w:rPr>
        <w:t>326,8</w:t>
      </w:r>
      <w:r w:rsidRPr="00C62111">
        <w:rPr>
          <w:rFonts w:ascii="Tahoma" w:hAnsi="Tahoma" w:cs="Tahoma"/>
          <w:bCs w:val="0"/>
          <w:color w:val="000000"/>
          <w:lang w:val="es-ES"/>
        </w:rPr>
        <w:t xml:space="preserve"> millones de euros, lo que supondr</w:t>
      </w:r>
      <w:r>
        <w:rPr>
          <w:rFonts w:ascii="Tahoma" w:hAnsi="Tahoma" w:cs="Tahoma"/>
          <w:bCs w:val="0"/>
          <w:color w:val="000000"/>
          <w:lang w:val="es-ES"/>
        </w:rPr>
        <w:t>ía</w:t>
      </w:r>
      <w:r w:rsidRPr="00C62111">
        <w:rPr>
          <w:rFonts w:ascii="Tahoma" w:hAnsi="Tahoma" w:cs="Tahoma"/>
          <w:bCs w:val="0"/>
          <w:color w:val="000000"/>
          <w:lang w:val="es-ES"/>
        </w:rPr>
        <w:t xml:space="preserve"> una reducción del </w:t>
      </w:r>
      <w:r>
        <w:rPr>
          <w:rFonts w:ascii="Tahoma" w:hAnsi="Tahoma" w:cs="Tahoma"/>
          <w:bCs w:val="0"/>
          <w:color w:val="000000"/>
          <w:lang w:val="es-ES"/>
        </w:rPr>
        <w:t>67</w:t>
      </w:r>
      <w:r w:rsidRPr="00C62111">
        <w:rPr>
          <w:rFonts w:ascii="Tahoma" w:hAnsi="Tahoma" w:cs="Tahoma"/>
          <w:bCs w:val="0"/>
          <w:color w:val="000000"/>
          <w:lang w:val="es-ES"/>
        </w:rPr>
        <w:t>,</w:t>
      </w:r>
      <w:r>
        <w:rPr>
          <w:rFonts w:ascii="Tahoma" w:hAnsi="Tahoma" w:cs="Tahoma"/>
          <w:bCs w:val="0"/>
          <w:color w:val="000000"/>
          <w:lang w:val="es-ES"/>
        </w:rPr>
        <w:t>6</w:t>
      </w:r>
      <w:r w:rsidRPr="00C62111">
        <w:rPr>
          <w:rFonts w:ascii="Tahoma" w:hAnsi="Tahoma" w:cs="Tahoma"/>
          <w:bCs w:val="0"/>
          <w:color w:val="000000"/>
          <w:lang w:val="es-ES"/>
        </w:rPr>
        <w:t>1%, situándose su deuda viva a 31 de diciembre de 201</w:t>
      </w:r>
      <w:r>
        <w:rPr>
          <w:rFonts w:ascii="Tahoma" w:hAnsi="Tahoma" w:cs="Tahoma"/>
          <w:bCs w:val="0"/>
          <w:color w:val="000000"/>
          <w:lang w:val="es-ES"/>
        </w:rPr>
        <w:t>8</w:t>
      </w:r>
      <w:r w:rsidRPr="00C62111">
        <w:rPr>
          <w:rFonts w:ascii="Tahoma" w:hAnsi="Tahoma" w:cs="Tahoma"/>
          <w:bCs w:val="0"/>
          <w:color w:val="000000"/>
          <w:lang w:val="es-ES"/>
        </w:rPr>
        <w:t xml:space="preserve"> en </w:t>
      </w:r>
      <w:r>
        <w:rPr>
          <w:rFonts w:ascii="Tahoma" w:hAnsi="Tahoma" w:cs="Tahoma"/>
          <w:bCs w:val="0"/>
          <w:color w:val="000000"/>
          <w:lang w:val="es-ES"/>
        </w:rPr>
        <w:t>156</w:t>
      </w:r>
      <w:r w:rsidRPr="00C62111">
        <w:rPr>
          <w:rFonts w:ascii="Tahoma" w:hAnsi="Tahoma" w:cs="Tahoma"/>
          <w:bCs w:val="0"/>
          <w:color w:val="000000"/>
          <w:lang w:val="es-ES"/>
        </w:rPr>
        <w:t>,</w:t>
      </w:r>
      <w:r>
        <w:rPr>
          <w:rFonts w:ascii="Tahoma" w:hAnsi="Tahoma" w:cs="Tahoma"/>
          <w:bCs w:val="0"/>
          <w:color w:val="000000"/>
          <w:lang w:val="es-ES"/>
        </w:rPr>
        <w:t>6</w:t>
      </w:r>
      <w:r w:rsidRPr="00C62111">
        <w:rPr>
          <w:rFonts w:ascii="Tahoma" w:hAnsi="Tahoma" w:cs="Tahoma"/>
          <w:bCs w:val="0"/>
          <w:color w:val="000000"/>
          <w:lang w:val="es-ES"/>
        </w:rPr>
        <w:t xml:space="preserve"> millones de euros.</w:t>
      </w:r>
    </w:p>
    <w:p w:rsidR="00B9049A" w:rsidRDefault="00B9049A" w:rsidP="00424EEA">
      <w:pPr>
        <w:pStyle w:val="Textoindependiente"/>
        <w:spacing w:line="360" w:lineRule="auto"/>
        <w:rPr>
          <w:rFonts w:ascii="Tahoma" w:hAnsi="Tahoma" w:cs="Tahoma"/>
          <w:b w:val="0"/>
          <w:bCs w:val="0"/>
          <w:color w:val="000000"/>
          <w:lang w:val="es-ES"/>
        </w:rPr>
      </w:pPr>
    </w:p>
    <w:p w:rsidR="00B9049A" w:rsidRDefault="00B9049A" w:rsidP="00A9512C">
      <w:pPr>
        <w:autoSpaceDE w:val="0"/>
        <w:autoSpaceDN w:val="0"/>
        <w:adjustRightInd w:val="0"/>
        <w:spacing w:line="360" w:lineRule="auto"/>
        <w:jc w:val="both"/>
        <w:rPr>
          <w:rFonts w:ascii="Tahoma" w:hAnsi="Tahoma" w:cs="Tahoma"/>
          <w:color w:val="000000"/>
          <w:sz w:val="22"/>
          <w:szCs w:val="22"/>
        </w:rPr>
      </w:pPr>
      <w:r>
        <w:rPr>
          <w:rFonts w:ascii="Tahoma" w:hAnsi="Tahoma" w:cs="Tahoma"/>
          <w:color w:val="000000"/>
          <w:sz w:val="22"/>
          <w:szCs w:val="22"/>
        </w:rPr>
        <w:t xml:space="preserve">Asimismo, desde que el Cabildo, en diciembre de 2014 </w:t>
      </w:r>
      <w:r w:rsidRPr="00FA134C">
        <w:rPr>
          <w:rFonts w:ascii="Tahoma" w:hAnsi="Tahoma" w:cs="Tahoma"/>
          <w:color w:val="000000"/>
          <w:sz w:val="22"/>
          <w:szCs w:val="22"/>
        </w:rPr>
        <w:t>amortizó la última de las emisiones de deuda pública realizada</w:t>
      </w:r>
      <w:r>
        <w:rPr>
          <w:rFonts w:ascii="Tahoma" w:hAnsi="Tahoma" w:cs="Tahoma"/>
          <w:color w:val="000000"/>
          <w:sz w:val="22"/>
          <w:szCs w:val="22"/>
        </w:rPr>
        <w:t>s</w:t>
      </w:r>
      <w:r w:rsidRPr="00FA134C">
        <w:rPr>
          <w:rFonts w:ascii="Tahoma" w:hAnsi="Tahoma" w:cs="Tahoma"/>
          <w:color w:val="000000"/>
          <w:sz w:val="22"/>
          <w:szCs w:val="22"/>
        </w:rPr>
        <w:t xml:space="preserve"> </w:t>
      </w:r>
      <w:r>
        <w:rPr>
          <w:rFonts w:ascii="Tahoma" w:hAnsi="Tahoma" w:cs="Tahoma"/>
          <w:color w:val="000000"/>
          <w:sz w:val="22"/>
          <w:szCs w:val="22"/>
        </w:rPr>
        <w:t xml:space="preserve">para financiar sus inversiones, sólo </w:t>
      </w:r>
      <w:r w:rsidRPr="00FA134C">
        <w:rPr>
          <w:rFonts w:ascii="Tahoma" w:hAnsi="Tahoma" w:cs="Tahoma"/>
          <w:color w:val="000000"/>
          <w:sz w:val="22"/>
          <w:szCs w:val="22"/>
        </w:rPr>
        <w:t xml:space="preserve">afronta amortizaciones anuales </w:t>
      </w:r>
      <w:r>
        <w:rPr>
          <w:rFonts w:ascii="Tahoma" w:hAnsi="Tahoma" w:cs="Tahoma"/>
          <w:color w:val="000000"/>
          <w:sz w:val="22"/>
          <w:szCs w:val="22"/>
        </w:rPr>
        <w:t xml:space="preserve">de sus préstamos. Al mismo tiempo, esta cuota de amortización ha disminuido en los dos últimos años como consecuencia de las amortizaciones anticipadas; de esta forma la cuota prevista para el ejercicio 2018 asciende a 22,1 millones de euros. </w:t>
      </w:r>
    </w:p>
    <w:p w:rsidR="00B9049A" w:rsidRDefault="00B9049A" w:rsidP="00241FA1">
      <w:pPr>
        <w:spacing w:line="360" w:lineRule="auto"/>
        <w:jc w:val="both"/>
        <w:rPr>
          <w:rFonts w:ascii="Tahoma" w:hAnsi="Tahoma" w:cs="Tahoma"/>
          <w:color w:val="000000"/>
          <w:sz w:val="22"/>
          <w:szCs w:val="22"/>
        </w:rPr>
      </w:pPr>
    </w:p>
    <w:p w:rsidR="00B9049A" w:rsidRDefault="00B9049A" w:rsidP="00241FA1">
      <w:pPr>
        <w:spacing w:line="360" w:lineRule="auto"/>
        <w:jc w:val="both"/>
        <w:rPr>
          <w:rFonts w:ascii="Tahoma" w:hAnsi="Tahoma" w:cs="Tahoma"/>
          <w:color w:val="000000"/>
          <w:sz w:val="22"/>
          <w:szCs w:val="22"/>
        </w:rPr>
      </w:pPr>
      <w:r w:rsidRPr="00127E36">
        <w:rPr>
          <w:rFonts w:ascii="Tahoma" w:hAnsi="Tahoma" w:cs="Tahoma"/>
          <w:color w:val="000000"/>
          <w:sz w:val="22"/>
          <w:szCs w:val="22"/>
        </w:rPr>
        <w:t>De cara al ejercicio 201</w:t>
      </w:r>
      <w:r>
        <w:rPr>
          <w:rFonts w:ascii="Tahoma" w:hAnsi="Tahoma" w:cs="Tahoma"/>
          <w:color w:val="000000"/>
          <w:sz w:val="22"/>
          <w:szCs w:val="22"/>
        </w:rPr>
        <w:t>8</w:t>
      </w:r>
      <w:r w:rsidRPr="00127E36">
        <w:rPr>
          <w:rFonts w:ascii="Tahoma" w:hAnsi="Tahoma" w:cs="Tahoma"/>
          <w:color w:val="000000"/>
          <w:sz w:val="22"/>
          <w:szCs w:val="22"/>
        </w:rPr>
        <w:t xml:space="preserve">, esta Corporación no tiene previsto en su presupuesto recurrir a la concertación de nuevas operaciones de crédito a largo plazo para financiar sus inversiones, toda vez que se prevé que las mismas se financien </w:t>
      </w:r>
      <w:r>
        <w:rPr>
          <w:rFonts w:ascii="Tahoma" w:hAnsi="Tahoma" w:cs="Tahoma"/>
          <w:color w:val="000000"/>
          <w:sz w:val="22"/>
          <w:szCs w:val="22"/>
        </w:rPr>
        <w:t xml:space="preserve">conjuntamente </w:t>
      </w:r>
      <w:r w:rsidRPr="00127E36">
        <w:rPr>
          <w:rFonts w:ascii="Tahoma" w:hAnsi="Tahoma" w:cs="Tahoma"/>
          <w:color w:val="000000"/>
          <w:sz w:val="22"/>
          <w:szCs w:val="22"/>
        </w:rPr>
        <w:t>con ahorro bruto</w:t>
      </w:r>
      <w:r>
        <w:rPr>
          <w:rFonts w:ascii="Tahoma" w:hAnsi="Tahoma" w:cs="Tahoma"/>
          <w:color w:val="000000"/>
          <w:sz w:val="22"/>
          <w:szCs w:val="22"/>
        </w:rPr>
        <w:t xml:space="preserve"> y con los ingresos de capital previstos.</w:t>
      </w:r>
    </w:p>
    <w:p w:rsidR="00B9049A" w:rsidRDefault="00B9049A" w:rsidP="00241FA1">
      <w:pPr>
        <w:spacing w:line="360" w:lineRule="auto"/>
        <w:jc w:val="both"/>
        <w:rPr>
          <w:rFonts w:ascii="Tahoma" w:hAnsi="Tahoma" w:cs="Tahoma"/>
          <w:color w:val="000000"/>
          <w:sz w:val="22"/>
          <w:szCs w:val="22"/>
        </w:rPr>
      </w:pPr>
    </w:p>
    <w:p w:rsidR="00B9049A" w:rsidRPr="000E1FEE" w:rsidRDefault="00B9049A" w:rsidP="00F918F1">
      <w:pPr>
        <w:spacing w:line="360" w:lineRule="auto"/>
        <w:jc w:val="both"/>
        <w:rPr>
          <w:rFonts w:ascii="Tahoma" w:hAnsi="Tahoma" w:cs="Tahoma"/>
          <w:sz w:val="22"/>
          <w:szCs w:val="22"/>
        </w:rPr>
      </w:pPr>
      <w:r>
        <w:rPr>
          <w:rFonts w:ascii="Tahoma" w:hAnsi="Tahoma" w:cs="Tahoma"/>
          <w:color w:val="000000"/>
          <w:sz w:val="22"/>
          <w:szCs w:val="22"/>
        </w:rPr>
        <w:t>No obstante</w:t>
      </w:r>
      <w:r w:rsidRPr="00871F59">
        <w:rPr>
          <w:rFonts w:ascii="Tahoma" w:hAnsi="Tahoma" w:cs="Tahoma"/>
          <w:color w:val="000000"/>
          <w:sz w:val="22"/>
          <w:szCs w:val="22"/>
        </w:rPr>
        <w:t xml:space="preserve">, si durante el ejercicio fuese preciso concertar operaciones de este tipo y la normativa </w:t>
      </w:r>
      <w:r>
        <w:rPr>
          <w:rFonts w:ascii="Tahoma" w:hAnsi="Tahoma" w:cs="Tahoma"/>
          <w:color w:val="000000"/>
          <w:sz w:val="22"/>
          <w:szCs w:val="22"/>
        </w:rPr>
        <w:t xml:space="preserve">así </w:t>
      </w:r>
      <w:r w:rsidRPr="00871F59">
        <w:rPr>
          <w:rFonts w:ascii="Tahoma" w:hAnsi="Tahoma" w:cs="Tahoma"/>
          <w:color w:val="000000"/>
          <w:sz w:val="22"/>
          <w:szCs w:val="22"/>
        </w:rPr>
        <w:t>lo permitiera, será necesario disponer de las variables de ahorro neto y del porcentaje de endeudamiento de la Corporación en los términos previstos por la ley. Para determinar dichas variables habrá que contar con la liquidación del ejercicio 201</w:t>
      </w:r>
      <w:r>
        <w:rPr>
          <w:rFonts w:ascii="Tahoma" w:hAnsi="Tahoma" w:cs="Tahoma"/>
          <w:color w:val="000000"/>
          <w:sz w:val="22"/>
          <w:szCs w:val="22"/>
        </w:rPr>
        <w:t>7</w:t>
      </w:r>
      <w:r w:rsidRPr="00871F59">
        <w:rPr>
          <w:rFonts w:ascii="Tahoma" w:hAnsi="Tahoma" w:cs="Tahoma"/>
          <w:color w:val="000000"/>
          <w:sz w:val="22"/>
          <w:szCs w:val="22"/>
        </w:rPr>
        <w:t>, tanto del</w:t>
      </w:r>
      <w:r w:rsidRPr="000E1FEE">
        <w:rPr>
          <w:rFonts w:ascii="Tahoma" w:hAnsi="Tahoma" w:cs="Tahoma"/>
          <w:sz w:val="22"/>
          <w:szCs w:val="22"/>
        </w:rPr>
        <w:t xml:space="preserve"> Cabildo como de los entes que forman el perímetro de consolidación</w:t>
      </w:r>
      <w:r>
        <w:rPr>
          <w:rFonts w:ascii="Tahoma" w:hAnsi="Tahoma" w:cs="Tahoma"/>
          <w:sz w:val="22"/>
          <w:szCs w:val="22"/>
        </w:rPr>
        <w:t>.</w:t>
      </w:r>
    </w:p>
    <w:p w:rsidR="00B9049A" w:rsidRDefault="00B9049A" w:rsidP="00241FA1">
      <w:pPr>
        <w:spacing w:line="360" w:lineRule="auto"/>
        <w:jc w:val="both"/>
        <w:rPr>
          <w:rFonts w:ascii="Tahoma" w:hAnsi="Tahoma" w:cs="Tahoma"/>
          <w:color w:val="000000"/>
          <w:sz w:val="22"/>
          <w:szCs w:val="22"/>
        </w:rPr>
      </w:pPr>
    </w:p>
    <w:p w:rsidR="00B9049A" w:rsidRPr="00C62111" w:rsidRDefault="00B9049A" w:rsidP="00241FA1">
      <w:pPr>
        <w:spacing w:line="360" w:lineRule="auto"/>
        <w:jc w:val="both"/>
        <w:rPr>
          <w:rFonts w:ascii="Tahoma" w:hAnsi="Tahoma" w:cs="Tahoma"/>
          <w:color w:val="000000"/>
          <w:sz w:val="22"/>
          <w:szCs w:val="22"/>
        </w:rPr>
      </w:pPr>
      <w:r>
        <w:rPr>
          <w:rFonts w:ascii="Tahoma" w:hAnsi="Tahoma" w:cs="Tahoma"/>
          <w:color w:val="000000"/>
          <w:sz w:val="22"/>
          <w:szCs w:val="22"/>
        </w:rPr>
        <w:t>Si en algún</w:t>
      </w:r>
      <w:r w:rsidRPr="00C62111">
        <w:rPr>
          <w:rFonts w:ascii="Tahoma" w:hAnsi="Tahoma" w:cs="Tahoma"/>
          <w:color w:val="000000"/>
          <w:sz w:val="22"/>
          <w:szCs w:val="22"/>
        </w:rPr>
        <w:t xml:space="preserve"> momento se recurr</w:t>
      </w:r>
      <w:r>
        <w:rPr>
          <w:rFonts w:ascii="Tahoma" w:hAnsi="Tahoma" w:cs="Tahoma"/>
          <w:color w:val="000000"/>
          <w:sz w:val="22"/>
          <w:szCs w:val="22"/>
        </w:rPr>
        <w:t>e</w:t>
      </w:r>
      <w:r w:rsidRPr="00C62111">
        <w:rPr>
          <w:rFonts w:ascii="Tahoma" w:hAnsi="Tahoma" w:cs="Tahoma"/>
          <w:color w:val="000000"/>
          <w:sz w:val="22"/>
          <w:szCs w:val="22"/>
        </w:rPr>
        <w:t xml:space="preserve"> al endeudamiento, las condiciones generales de la nueva o nuevas operaciones de préstamo a concertar para llevar a cabo dicha financiación de inversiones serían:</w:t>
      </w:r>
    </w:p>
    <w:p w:rsidR="00B9049A" w:rsidRPr="00C62111" w:rsidRDefault="00B9049A" w:rsidP="00241FA1">
      <w:pPr>
        <w:spacing w:line="360" w:lineRule="auto"/>
        <w:jc w:val="both"/>
        <w:rPr>
          <w:rFonts w:ascii="Tahoma" w:hAnsi="Tahoma" w:cs="Tahoma"/>
          <w:color w:val="000000"/>
          <w:sz w:val="22"/>
          <w:szCs w:val="22"/>
        </w:rPr>
      </w:pPr>
    </w:p>
    <w:p w:rsidR="00B9049A" w:rsidRPr="00A06540" w:rsidRDefault="00B9049A" w:rsidP="00241FA1">
      <w:pPr>
        <w:numPr>
          <w:ilvl w:val="1"/>
          <w:numId w:val="9"/>
        </w:numPr>
        <w:spacing w:line="360" w:lineRule="auto"/>
        <w:jc w:val="both"/>
        <w:rPr>
          <w:rFonts w:ascii="Tahoma" w:hAnsi="Tahoma" w:cs="Tahoma"/>
          <w:color w:val="000000"/>
          <w:sz w:val="22"/>
          <w:szCs w:val="22"/>
        </w:rPr>
      </w:pPr>
      <w:r w:rsidRPr="00A06540">
        <w:rPr>
          <w:rFonts w:ascii="Tahoma" w:hAnsi="Tahoma" w:cs="Tahoma"/>
          <w:color w:val="000000"/>
          <w:sz w:val="22"/>
          <w:szCs w:val="22"/>
        </w:rPr>
        <w:t xml:space="preserve">Plazo: mínimo de </w:t>
      </w:r>
      <w:r>
        <w:rPr>
          <w:rFonts w:ascii="Tahoma" w:hAnsi="Tahoma" w:cs="Tahoma"/>
          <w:color w:val="000000"/>
          <w:sz w:val="22"/>
          <w:szCs w:val="22"/>
        </w:rPr>
        <w:t>7</w:t>
      </w:r>
      <w:r w:rsidRPr="00A06540">
        <w:rPr>
          <w:rFonts w:ascii="Tahoma" w:hAnsi="Tahoma" w:cs="Tahoma"/>
          <w:color w:val="000000"/>
          <w:sz w:val="22"/>
          <w:szCs w:val="22"/>
        </w:rPr>
        <w:t xml:space="preserve"> años, con posibilidad de carencia.</w:t>
      </w:r>
    </w:p>
    <w:p w:rsidR="00B9049A" w:rsidRPr="00A06540" w:rsidRDefault="00B9049A" w:rsidP="00241FA1">
      <w:pPr>
        <w:numPr>
          <w:ilvl w:val="1"/>
          <w:numId w:val="9"/>
        </w:numPr>
        <w:spacing w:line="360" w:lineRule="auto"/>
        <w:jc w:val="both"/>
        <w:rPr>
          <w:rFonts w:ascii="Tahoma" w:hAnsi="Tahoma" w:cs="Tahoma"/>
          <w:color w:val="000000"/>
          <w:sz w:val="22"/>
          <w:szCs w:val="22"/>
        </w:rPr>
      </w:pPr>
      <w:r w:rsidRPr="00A06540">
        <w:rPr>
          <w:rFonts w:ascii="Tahoma" w:hAnsi="Tahoma" w:cs="Tahoma"/>
          <w:color w:val="000000"/>
          <w:sz w:val="22"/>
          <w:szCs w:val="22"/>
        </w:rPr>
        <w:t>Tipo de interés: fijo o variable, según la situación de los mercados y con liquidación de intereses anual.</w:t>
      </w:r>
    </w:p>
    <w:p w:rsidR="00B9049A" w:rsidRPr="00A06540" w:rsidRDefault="00B9049A" w:rsidP="00241FA1">
      <w:pPr>
        <w:numPr>
          <w:ilvl w:val="1"/>
          <w:numId w:val="9"/>
        </w:numPr>
        <w:spacing w:line="360" w:lineRule="auto"/>
        <w:jc w:val="both"/>
        <w:rPr>
          <w:rFonts w:ascii="Tahoma" w:hAnsi="Tahoma" w:cs="Tahoma"/>
          <w:color w:val="000000"/>
          <w:sz w:val="22"/>
          <w:szCs w:val="22"/>
        </w:rPr>
      </w:pPr>
      <w:r w:rsidRPr="00A06540">
        <w:rPr>
          <w:rFonts w:ascii="Tahoma" w:hAnsi="Tahoma" w:cs="Tahoma"/>
          <w:color w:val="000000"/>
          <w:sz w:val="22"/>
          <w:szCs w:val="22"/>
        </w:rPr>
        <w:t>Amortización anual.</w:t>
      </w:r>
    </w:p>
    <w:p w:rsidR="00B9049A" w:rsidRPr="00A06540" w:rsidRDefault="00B9049A" w:rsidP="00241FA1">
      <w:pPr>
        <w:numPr>
          <w:ilvl w:val="1"/>
          <w:numId w:val="9"/>
        </w:numPr>
        <w:spacing w:line="360" w:lineRule="auto"/>
        <w:jc w:val="both"/>
        <w:rPr>
          <w:rFonts w:ascii="Tahoma" w:hAnsi="Tahoma" w:cs="Tahoma"/>
          <w:color w:val="000000"/>
          <w:sz w:val="22"/>
          <w:szCs w:val="22"/>
        </w:rPr>
      </w:pPr>
      <w:r w:rsidRPr="00A06540">
        <w:rPr>
          <w:rFonts w:ascii="Tahoma" w:hAnsi="Tahoma" w:cs="Tahoma"/>
          <w:color w:val="000000"/>
          <w:sz w:val="22"/>
          <w:szCs w:val="22"/>
        </w:rPr>
        <w:t>Sujetas al principio de prudencia financiera</w:t>
      </w:r>
    </w:p>
    <w:p w:rsidR="00B9049A" w:rsidRDefault="00B9049A" w:rsidP="00241FA1">
      <w:pPr>
        <w:spacing w:line="360" w:lineRule="auto"/>
        <w:jc w:val="both"/>
        <w:rPr>
          <w:rFonts w:ascii="Tahoma" w:hAnsi="Tahoma" w:cs="Tahoma"/>
          <w:color w:val="000000"/>
          <w:sz w:val="22"/>
          <w:szCs w:val="22"/>
        </w:rPr>
      </w:pPr>
    </w:p>
    <w:p w:rsidR="00B9049A" w:rsidRDefault="00B9049A" w:rsidP="00241FA1">
      <w:pPr>
        <w:spacing w:line="360" w:lineRule="auto"/>
        <w:jc w:val="both"/>
        <w:rPr>
          <w:rFonts w:ascii="Tahoma" w:hAnsi="Tahoma" w:cs="Tahoma"/>
          <w:color w:val="000000"/>
          <w:sz w:val="22"/>
          <w:szCs w:val="22"/>
        </w:rPr>
      </w:pPr>
    </w:p>
    <w:p w:rsidR="00B9049A" w:rsidRDefault="00B9049A" w:rsidP="00241FA1">
      <w:pPr>
        <w:spacing w:line="360" w:lineRule="auto"/>
        <w:jc w:val="both"/>
        <w:rPr>
          <w:rFonts w:ascii="Tahoma" w:hAnsi="Tahoma" w:cs="Tahoma"/>
          <w:color w:val="000000"/>
          <w:sz w:val="22"/>
          <w:szCs w:val="22"/>
        </w:rPr>
      </w:pPr>
    </w:p>
    <w:p w:rsidR="00B9049A" w:rsidRPr="00A06540" w:rsidRDefault="00B9049A" w:rsidP="00241FA1">
      <w:pPr>
        <w:spacing w:line="360" w:lineRule="auto"/>
        <w:jc w:val="both"/>
        <w:rPr>
          <w:rFonts w:ascii="Tahoma" w:hAnsi="Tahoma" w:cs="Tahoma"/>
          <w:color w:val="000000"/>
          <w:sz w:val="22"/>
          <w:szCs w:val="22"/>
        </w:rPr>
      </w:pPr>
    </w:p>
    <w:p w:rsidR="00B9049A" w:rsidRPr="00A06540" w:rsidRDefault="00B9049A" w:rsidP="00241FA1">
      <w:pPr>
        <w:spacing w:line="360" w:lineRule="auto"/>
        <w:jc w:val="both"/>
        <w:rPr>
          <w:rFonts w:ascii="Tahoma" w:hAnsi="Tahoma" w:cs="Tahoma"/>
          <w:color w:val="000000"/>
          <w:sz w:val="22"/>
          <w:szCs w:val="22"/>
        </w:rPr>
      </w:pPr>
      <w:r w:rsidRPr="00A06540">
        <w:rPr>
          <w:rFonts w:ascii="Tahoma" w:hAnsi="Tahoma" w:cs="Tahoma"/>
          <w:color w:val="000000"/>
          <w:sz w:val="22"/>
          <w:szCs w:val="22"/>
        </w:rPr>
        <w:t>Las mencionadas características de estas operaciones son las aplicables en el marco jurídico y financiero actual y se optará por la fórmula más adecuada en función de cómo evolucione dicho marco jurídico y de la situación de los mercados financieros, así como de los propios datos económicos de la Corporación.</w:t>
      </w:r>
    </w:p>
    <w:p w:rsidR="00B9049A" w:rsidRDefault="00B9049A" w:rsidP="00424EEA">
      <w:pPr>
        <w:pStyle w:val="Textoindependiente"/>
        <w:spacing w:line="360" w:lineRule="auto"/>
        <w:rPr>
          <w:rFonts w:ascii="Tahoma" w:hAnsi="Tahoma" w:cs="Tahoma"/>
          <w:b w:val="0"/>
          <w:bCs w:val="0"/>
          <w:color w:val="000000"/>
          <w:lang w:val="es-ES"/>
        </w:rPr>
      </w:pPr>
    </w:p>
    <w:p w:rsidR="00B9049A" w:rsidRDefault="00B9049A" w:rsidP="000D6DAE">
      <w:pPr>
        <w:spacing w:line="360" w:lineRule="auto"/>
        <w:jc w:val="both"/>
        <w:outlineLvl w:val="0"/>
        <w:rPr>
          <w:rFonts w:ascii="Tahoma" w:hAnsi="Tahoma" w:cs="Tahoma"/>
          <w:b/>
          <w:bCs/>
          <w:sz w:val="22"/>
          <w:szCs w:val="22"/>
          <w:u w:val="single"/>
        </w:rPr>
      </w:pPr>
      <w:r>
        <w:rPr>
          <w:rFonts w:ascii="Tahoma" w:hAnsi="Tahoma" w:cs="Tahoma"/>
          <w:b/>
          <w:bCs/>
          <w:sz w:val="22"/>
          <w:szCs w:val="22"/>
          <w:u w:val="single"/>
        </w:rPr>
        <w:t>3</w:t>
      </w:r>
      <w:r w:rsidRPr="00084298">
        <w:rPr>
          <w:rFonts w:ascii="Tahoma" w:hAnsi="Tahoma" w:cs="Tahoma"/>
          <w:b/>
          <w:bCs/>
          <w:sz w:val="22"/>
          <w:szCs w:val="22"/>
          <w:u w:val="single"/>
        </w:rPr>
        <w:t>.</w:t>
      </w:r>
      <w:r>
        <w:rPr>
          <w:rFonts w:ascii="Tahoma" w:hAnsi="Tahoma" w:cs="Tahoma"/>
          <w:b/>
          <w:bCs/>
          <w:sz w:val="22"/>
          <w:szCs w:val="22"/>
          <w:u w:val="single"/>
        </w:rPr>
        <w:t>2</w:t>
      </w:r>
      <w:r w:rsidRPr="00084298">
        <w:rPr>
          <w:rFonts w:ascii="Tahoma" w:hAnsi="Tahoma" w:cs="Tahoma"/>
          <w:b/>
          <w:bCs/>
          <w:sz w:val="22"/>
          <w:szCs w:val="22"/>
          <w:u w:val="single"/>
        </w:rPr>
        <w:t>. Características del endeudamiento.</w:t>
      </w:r>
    </w:p>
    <w:p w:rsidR="00B9049A" w:rsidRPr="007D3EE1" w:rsidRDefault="00B9049A" w:rsidP="004C22F0">
      <w:pPr>
        <w:pStyle w:val="Textoindependiente3"/>
        <w:spacing w:line="360" w:lineRule="auto"/>
        <w:rPr>
          <w:rFonts w:ascii="Tahoma" w:hAnsi="Tahoma" w:cs="Tahoma"/>
          <w:color w:val="000000"/>
        </w:rPr>
      </w:pPr>
      <w:r w:rsidRPr="00B87A30">
        <w:rPr>
          <w:rFonts w:ascii="Tahoma" w:hAnsi="Tahoma" w:cs="Tahoma"/>
        </w:rPr>
        <w:t xml:space="preserve">Es importante resaltar la importancia que </w:t>
      </w:r>
      <w:r>
        <w:rPr>
          <w:rFonts w:ascii="Tahoma" w:hAnsi="Tahoma" w:cs="Tahoma"/>
        </w:rPr>
        <w:t>tuvo</w:t>
      </w:r>
      <w:r w:rsidRPr="00B87A30">
        <w:rPr>
          <w:rFonts w:ascii="Tahoma" w:hAnsi="Tahoma" w:cs="Tahoma"/>
        </w:rPr>
        <w:t xml:space="preserve"> el principal mecanismo de financiación de inversiones utilizado por el Cabildo desde 1997 hasta 2008 y que consistió en emisiones de deuda pública a 5, 7 y 8 años. </w:t>
      </w:r>
      <w:r w:rsidRPr="00B87A30">
        <w:rPr>
          <w:rFonts w:ascii="Tahoma" w:hAnsi="Tahoma" w:cs="Tahoma"/>
          <w:color w:val="000000"/>
        </w:rPr>
        <w:t>El importe de esta fuente de financiación ascendió a 569,65 millones de euros durante ese período</w:t>
      </w:r>
      <w:r>
        <w:rPr>
          <w:color w:val="000000"/>
        </w:rPr>
        <w:t xml:space="preserve"> y l</w:t>
      </w:r>
      <w:r w:rsidRPr="00B87A30">
        <w:rPr>
          <w:rFonts w:ascii="Tahoma" w:hAnsi="Tahoma" w:cs="Tahoma"/>
        </w:rPr>
        <w:t>a última emisión de deuda pública, a través de bonos aptos para la RIC, venció en diciembre de 2014</w:t>
      </w:r>
      <w:r w:rsidRPr="00B87A30">
        <w:rPr>
          <w:rFonts w:ascii="Tahoma" w:hAnsi="Tahoma" w:cs="Tahoma"/>
          <w:color w:val="000000"/>
        </w:rPr>
        <w:t xml:space="preserve">. </w:t>
      </w:r>
    </w:p>
    <w:p w:rsidR="00B9049A" w:rsidRPr="00C33814" w:rsidRDefault="00B9049A" w:rsidP="004C22F0">
      <w:pPr>
        <w:spacing w:line="360" w:lineRule="auto"/>
        <w:ind w:left="708"/>
        <w:jc w:val="both"/>
        <w:rPr>
          <w:rFonts w:ascii="Tahoma" w:hAnsi="Tahoma" w:cs="Tahoma"/>
          <w:color w:val="000000"/>
          <w:sz w:val="22"/>
          <w:szCs w:val="22"/>
        </w:rPr>
      </w:pPr>
    </w:p>
    <w:p w:rsidR="00B9049A" w:rsidRDefault="00B9049A" w:rsidP="004C22F0">
      <w:pPr>
        <w:spacing w:line="360" w:lineRule="auto"/>
        <w:jc w:val="both"/>
        <w:rPr>
          <w:rFonts w:ascii="Tahoma" w:hAnsi="Tahoma" w:cs="Tahoma"/>
          <w:color w:val="000000"/>
          <w:sz w:val="22"/>
          <w:szCs w:val="22"/>
        </w:rPr>
      </w:pPr>
      <w:r w:rsidRPr="00C33814">
        <w:rPr>
          <w:rFonts w:ascii="Tahoma" w:hAnsi="Tahoma" w:cs="Tahoma"/>
          <w:color w:val="000000"/>
          <w:sz w:val="22"/>
          <w:szCs w:val="22"/>
        </w:rPr>
        <w:t xml:space="preserve">Esta fórmula de endeudamiento, sin duda muy ventajosa, tanto por los menores costes </w:t>
      </w:r>
      <w:r>
        <w:rPr>
          <w:rFonts w:ascii="Tahoma" w:hAnsi="Tahoma" w:cs="Tahoma"/>
          <w:color w:val="000000"/>
          <w:sz w:val="22"/>
          <w:szCs w:val="22"/>
        </w:rPr>
        <w:t>financieros que suponía en su momento, como</w:t>
      </w:r>
      <w:r w:rsidRPr="00C33814">
        <w:rPr>
          <w:rFonts w:ascii="Tahoma" w:hAnsi="Tahoma" w:cs="Tahoma"/>
          <w:color w:val="000000"/>
          <w:sz w:val="22"/>
          <w:szCs w:val="22"/>
        </w:rPr>
        <w:t xml:space="preserve"> sobre todo, porque los bonos suscritos eran aptos para la materialización de la Reserva para Inversiones en Canarias, </w:t>
      </w:r>
      <w:r w:rsidRPr="008E2930">
        <w:rPr>
          <w:rFonts w:ascii="Tahoma" w:hAnsi="Tahoma" w:cs="Tahoma"/>
          <w:bCs/>
          <w:color w:val="000000"/>
          <w:sz w:val="22"/>
          <w:szCs w:val="22"/>
        </w:rPr>
        <w:t>provocó un desequilibrio en la financiación de las inversiones realizadas por este Cabildo</w:t>
      </w:r>
      <w:r w:rsidRPr="008E2930">
        <w:rPr>
          <w:rFonts w:ascii="Tahoma" w:hAnsi="Tahoma" w:cs="Tahoma"/>
          <w:color w:val="000000"/>
          <w:sz w:val="22"/>
          <w:szCs w:val="22"/>
        </w:rPr>
        <w:t>,</w:t>
      </w:r>
      <w:r w:rsidRPr="00C33814">
        <w:rPr>
          <w:rFonts w:ascii="Tahoma" w:hAnsi="Tahoma" w:cs="Tahoma"/>
          <w:color w:val="000000"/>
          <w:sz w:val="22"/>
          <w:szCs w:val="22"/>
        </w:rPr>
        <w:t xml:space="preserve"> en el sentido de que </w:t>
      </w:r>
      <w:r>
        <w:rPr>
          <w:rFonts w:ascii="Tahoma" w:hAnsi="Tahoma" w:cs="Tahoma"/>
          <w:color w:val="000000"/>
          <w:sz w:val="22"/>
          <w:szCs w:val="22"/>
        </w:rPr>
        <w:t>se amortizaba la d</w:t>
      </w:r>
      <w:r w:rsidRPr="00C33814">
        <w:rPr>
          <w:rFonts w:ascii="Tahoma" w:hAnsi="Tahoma" w:cs="Tahoma"/>
          <w:color w:val="000000"/>
          <w:sz w:val="22"/>
          <w:szCs w:val="22"/>
        </w:rPr>
        <w:t xml:space="preserve">euda en períodos muy cortos, frente a la vida útil </w:t>
      </w:r>
      <w:r>
        <w:rPr>
          <w:rFonts w:ascii="Tahoma" w:hAnsi="Tahoma" w:cs="Tahoma"/>
          <w:color w:val="000000"/>
          <w:sz w:val="22"/>
          <w:szCs w:val="22"/>
        </w:rPr>
        <w:t>superior</w:t>
      </w:r>
      <w:r w:rsidRPr="00C33814">
        <w:rPr>
          <w:rFonts w:ascii="Tahoma" w:hAnsi="Tahoma" w:cs="Tahoma"/>
          <w:color w:val="000000"/>
          <w:sz w:val="22"/>
          <w:szCs w:val="22"/>
        </w:rPr>
        <w:t xml:space="preserve"> de dichas inversiones</w:t>
      </w:r>
      <w:r w:rsidRPr="000145A8">
        <w:rPr>
          <w:rFonts w:ascii="Tahoma" w:hAnsi="Tahoma" w:cs="Tahoma"/>
          <w:color w:val="000000"/>
          <w:sz w:val="22"/>
          <w:szCs w:val="22"/>
        </w:rPr>
        <w:t xml:space="preserve"> </w:t>
      </w:r>
      <w:r>
        <w:rPr>
          <w:rFonts w:ascii="Tahoma" w:hAnsi="Tahoma" w:cs="Tahoma"/>
          <w:color w:val="000000"/>
          <w:sz w:val="22"/>
          <w:szCs w:val="22"/>
        </w:rPr>
        <w:t xml:space="preserve">(con </w:t>
      </w:r>
      <w:r w:rsidRPr="00C33814">
        <w:rPr>
          <w:rFonts w:ascii="Tahoma" w:hAnsi="Tahoma" w:cs="Tahoma"/>
          <w:color w:val="000000"/>
          <w:sz w:val="22"/>
          <w:szCs w:val="22"/>
        </w:rPr>
        <w:t>período</w:t>
      </w:r>
      <w:r>
        <w:rPr>
          <w:rFonts w:ascii="Tahoma" w:hAnsi="Tahoma" w:cs="Tahoma"/>
          <w:color w:val="000000"/>
          <w:sz w:val="22"/>
          <w:szCs w:val="22"/>
        </w:rPr>
        <w:t>s</w:t>
      </w:r>
      <w:r w:rsidRPr="00C33814">
        <w:rPr>
          <w:rFonts w:ascii="Tahoma" w:hAnsi="Tahoma" w:cs="Tahoma"/>
          <w:color w:val="000000"/>
          <w:sz w:val="22"/>
          <w:szCs w:val="22"/>
        </w:rPr>
        <w:t xml:space="preserve"> de amortización media </w:t>
      </w:r>
      <w:r>
        <w:rPr>
          <w:rFonts w:ascii="Tahoma" w:hAnsi="Tahoma" w:cs="Tahoma"/>
          <w:color w:val="000000"/>
          <w:sz w:val="22"/>
          <w:szCs w:val="22"/>
        </w:rPr>
        <w:t>de</w:t>
      </w:r>
      <w:r w:rsidRPr="00C33814">
        <w:rPr>
          <w:rFonts w:ascii="Tahoma" w:hAnsi="Tahoma" w:cs="Tahoma"/>
          <w:color w:val="000000"/>
          <w:sz w:val="22"/>
          <w:szCs w:val="22"/>
        </w:rPr>
        <w:t xml:space="preserve"> 30 años). Esto </w:t>
      </w:r>
      <w:r>
        <w:rPr>
          <w:rFonts w:ascii="Tahoma" w:hAnsi="Tahoma" w:cs="Tahoma"/>
          <w:color w:val="000000"/>
          <w:sz w:val="22"/>
          <w:szCs w:val="22"/>
        </w:rPr>
        <w:t>fue posible,</w:t>
      </w:r>
      <w:r w:rsidRPr="00C33814">
        <w:rPr>
          <w:rFonts w:ascii="Tahoma" w:hAnsi="Tahoma" w:cs="Tahoma"/>
          <w:color w:val="000000"/>
          <w:sz w:val="22"/>
          <w:szCs w:val="22"/>
        </w:rPr>
        <w:t xml:space="preserve"> </w:t>
      </w:r>
      <w:r>
        <w:rPr>
          <w:rFonts w:ascii="Tahoma" w:hAnsi="Tahoma" w:cs="Tahoma"/>
          <w:color w:val="000000"/>
          <w:sz w:val="22"/>
          <w:szCs w:val="22"/>
        </w:rPr>
        <w:t>ya que</w:t>
      </w:r>
      <w:r w:rsidRPr="00C33814">
        <w:rPr>
          <w:rFonts w:ascii="Tahoma" w:hAnsi="Tahoma" w:cs="Tahoma"/>
          <w:color w:val="000000"/>
          <w:sz w:val="22"/>
          <w:szCs w:val="22"/>
        </w:rPr>
        <w:t xml:space="preserve"> mientras la Corporación contaba con ingresos corrientes suficientes para ello, se detraía de los mismos para hacer frente a los plazos de la deuda, pero en los</w:t>
      </w:r>
      <w:r>
        <w:rPr>
          <w:rFonts w:ascii="Tahoma" w:hAnsi="Tahoma" w:cs="Tahoma"/>
          <w:color w:val="000000"/>
          <w:sz w:val="22"/>
          <w:szCs w:val="22"/>
        </w:rPr>
        <w:t xml:space="preserve"> primeros</w:t>
      </w:r>
      <w:r w:rsidRPr="00C33814">
        <w:rPr>
          <w:rFonts w:ascii="Tahoma" w:hAnsi="Tahoma" w:cs="Tahoma"/>
          <w:color w:val="000000"/>
          <w:sz w:val="22"/>
          <w:szCs w:val="22"/>
        </w:rPr>
        <w:t xml:space="preserve"> años de la crisis, 2009 y 2010</w:t>
      </w:r>
      <w:r>
        <w:rPr>
          <w:rFonts w:ascii="Tahoma" w:hAnsi="Tahoma" w:cs="Tahoma"/>
          <w:color w:val="000000"/>
          <w:sz w:val="22"/>
          <w:szCs w:val="22"/>
        </w:rPr>
        <w:t>,</w:t>
      </w:r>
      <w:r w:rsidRPr="00C33814">
        <w:rPr>
          <w:rFonts w:ascii="Tahoma" w:hAnsi="Tahoma" w:cs="Tahoma"/>
          <w:color w:val="000000"/>
          <w:sz w:val="22"/>
          <w:szCs w:val="22"/>
        </w:rPr>
        <w:t xml:space="preserve"> no </w:t>
      </w:r>
      <w:r>
        <w:rPr>
          <w:rFonts w:ascii="Tahoma" w:hAnsi="Tahoma" w:cs="Tahoma"/>
          <w:color w:val="000000"/>
          <w:sz w:val="22"/>
          <w:szCs w:val="22"/>
        </w:rPr>
        <w:t>se contó con ese margen</w:t>
      </w:r>
      <w:r w:rsidRPr="00C33814">
        <w:rPr>
          <w:rFonts w:ascii="Tahoma" w:hAnsi="Tahoma" w:cs="Tahoma"/>
          <w:color w:val="000000"/>
          <w:sz w:val="22"/>
          <w:szCs w:val="22"/>
        </w:rPr>
        <w:t xml:space="preserve"> y h</w:t>
      </w:r>
      <w:r>
        <w:rPr>
          <w:rFonts w:ascii="Tahoma" w:hAnsi="Tahoma" w:cs="Tahoma"/>
          <w:color w:val="000000"/>
          <w:sz w:val="22"/>
          <w:szCs w:val="22"/>
        </w:rPr>
        <w:t>ubo</w:t>
      </w:r>
      <w:r w:rsidRPr="00C33814">
        <w:rPr>
          <w:rFonts w:ascii="Tahoma" w:hAnsi="Tahoma" w:cs="Tahoma"/>
          <w:color w:val="000000"/>
          <w:sz w:val="22"/>
          <w:szCs w:val="22"/>
        </w:rPr>
        <w:t xml:space="preserve"> que recurrir </w:t>
      </w:r>
      <w:r>
        <w:rPr>
          <w:rFonts w:ascii="Tahoma" w:hAnsi="Tahoma" w:cs="Tahoma"/>
          <w:color w:val="000000"/>
          <w:sz w:val="22"/>
          <w:szCs w:val="22"/>
        </w:rPr>
        <w:t>a operaciones de endeudamiento a más largo plazo</w:t>
      </w:r>
      <w:r w:rsidRPr="006B7BE9">
        <w:rPr>
          <w:rFonts w:ascii="Tahoma" w:hAnsi="Tahoma" w:cs="Tahoma"/>
          <w:color w:val="000000"/>
          <w:sz w:val="22"/>
          <w:szCs w:val="22"/>
        </w:rPr>
        <w:t>, de manera que se adecuara la vida útil de las inversiones a su financiación.</w:t>
      </w:r>
    </w:p>
    <w:p w:rsidR="00B9049A" w:rsidRDefault="00B9049A" w:rsidP="002F6503">
      <w:pPr>
        <w:pStyle w:val="Textoindependiente3"/>
        <w:spacing w:line="360" w:lineRule="auto"/>
        <w:rPr>
          <w:rFonts w:ascii="Tahoma" w:hAnsi="Tahoma" w:cs="Tahoma"/>
          <w:color w:val="000000"/>
        </w:rPr>
      </w:pPr>
    </w:p>
    <w:p w:rsidR="00B9049A" w:rsidRDefault="00B9049A" w:rsidP="002F6503">
      <w:pPr>
        <w:pStyle w:val="Textoindependiente3"/>
        <w:spacing w:line="360" w:lineRule="auto"/>
        <w:rPr>
          <w:rFonts w:ascii="Tahoma" w:hAnsi="Tahoma" w:cs="Tahoma"/>
          <w:b/>
          <w:bCs/>
        </w:rPr>
      </w:pPr>
      <w:r>
        <w:rPr>
          <w:rFonts w:ascii="Tahoma" w:hAnsi="Tahoma" w:cs="Tahoma"/>
          <w:color w:val="000000"/>
        </w:rPr>
        <w:t>E</w:t>
      </w:r>
      <w:r w:rsidRPr="00C33814">
        <w:rPr>
          <w:rFonts w:ascii="Tahoma" w:hAnsi="Tahoma" w:cs="Tahoma"/>
          <w:color w:val="000000"/>
        </w:rPr>
        <w:t>n la actualidad</w:t>
      </w:r>
      <w:r>
        <w:rPr>
          <w:rFonts w:ascii="Tahoma" w:hAnsi="Tahoma" w:cs="Tahoma"/>
          <w:color w:val="000000"/>
        </w:rPr>
        <w:t>,</w:t>
      </w:r>
      <w:r>
        <w:rPr>
          <w:rFonts w:ascii="Tahoma" w:hAnsi="Tahoma" w:cs="Tahoma"/>
        </w:rPr>
        <w:t xml:space="preserve"> d</w:t>
      </w:r>
      <w:r w:rsidRPr="00EF39E2">
        <w:rPr>
          <w:rFonts w:ascii="Tahoma" w:hAnsi="Tahoma" w:cs="Tahoma"/>
        </w:rPr>
        <w:t xml:space="preserve">el conjunto de operaciones de endeudamiento de este Cabildo, deben destacarse las siguientes </w:t>
      </w:r>
      <w:r w:rsidRPr="00233E90">
        <w:rPr>
          <w:rFonts w:ascii="Tahoma" w:hAnsi="Tahoma" w:cs="Tahoma"/>
          <w:b/>
          <w:bCs/>
        </w:rPr>
        <w:t>características:</w:t>
      </w:r>
    </w:p>
    <w:p w:rsidR="00B9049A" w:rsidRPr="00233E90" w:rsidRDefault="00B9049A" w:rsidP="002F6503">
      <w:pPr>
        <w:pStyle w:val="Textoindependiente3"/>
        <w:spacing w:line="360" w:lineRule="auto"/>
        <w:rPr>
          <w:rFonts w:ascii="Tahoma" w:hAnsi="Tahoma" w:cs="Tahoma"/>
        </w:rPr>
      </w:pPr>
    </w:p>
    <w:p w:rsidR="00B9049A" w:rsidRDefault="00B9049A" w:rsidP="00801590">
      <w:pPr>
        <w:pStyle w:val="Textoindependiente3"/>
        <w:numPr>
          <w:ilvl w:val="0"/>
          <w:numId w:val="2"/>
        </w:numPr>
        <w:spacing w:line="360" w:lineRule="auto"/>
        <w:rPr>
          <w:rFonts w:ascii="Tahoma" w:hAnsi="Tahoma" w:cs="Tahoma"/>
          <w:color w:val="000000"/>
        </w:rPr>
      </w:pPr>
      <w:r w:rsidRPr="00801590">
        <w:rPr>
          <w:rFonts w:ascii="Tahoma" w:hAnsi="Tahoma" w:cs="Tahoma"/>
          <w:bCs/>
          <w:color w:val="000000"/>
        </w:rPr>
        <w:t>A</w:t>
      </w:r>
      <w:r>
        <w:rPr>
          <w:rFonts w:ascii="Tahoma" w:hAnsi="Tahoma" w:cs="Tahoma"/>
        </w:rPr>
        <w:t xml:space="preserve"> 31 de diciembre de 2018, </w:t>
      </w:r>
      <w:r w:rsidRPr="00EF39E2">
        <w:rPr>
          <w:rFonts w:ascii="Tahoma" w:hAnsi="Tahoma" w:cs="Tahoma"/>
        </w:rPr>
        <w:t>todas las referencias realizadas en este informe a la deuda directa del Cabildo se han de entender referidas exclusivamente a operaciones a largo plazo</w:t>
      </w:r>
      <w:r>
        <w:rPr>
          <w:rFonts w:ascii="Tahoma" w:hAnsi="Tahoma" w:cs="Tahoma"/>
          <w:color w:val="000000"/>
        </w:rPr>
        <w:t>.</w:t>
      </w:r>
    </w:p>
    <w:p w:rsidR="00B9049A" w:rsidRPr="00801590" w:rsidRDefault="00B9049A" w:rsidP="00FA134C">
      <w:pPr>
        <w:pStyle w:val="Textoindependiente3"/>
        <w:numPr>
          <w:ilvl w:val="0"/>
          <w:numId w:val="2"/>
        </w:numPr>
        <w:spacing w:line="360" w:lineRule="auto"/>
        <w:rPr>
          <w:rFonts w:ascii="Tahoma" w:hAnsi="Tahoma" w:cs="Tahoma"/>
          <w:color w:val="000000"/>
        </w:rPr>
      </w:pPr>
      <w:r w:rsidRPr="00026F0C">
        <w:rPr>
          <w:rFonts w:ascii="Tahoma" w:hAnsi="Tahoma" w:cs="Tahoma"/>
          <w:b/>
          <w:bCs/>
          <w:color w:val="000000"/>
        </w:rPr>
        <w:t>Salvo las operaciones de refinanciación del RDL 4/2012, del mecanismo extraordinario del pago a proveedores, el resto de la deuda</w:t>
      </w:r>
      <w:r>
        <w:rPr>
          <w:rFonts w:ascii="Tahoma" w:hAnsi="Tahoma" w:cs="Tahoma"/>
          <w:b/>
          <w:bCs/>
          <w:color w:val="000000"/>
        </w:rPr>
        <w:t xml:space="preserve"> d</w:t>
      </w:r>
      <w:r w:rsidRPr="00026F0C">
        <w:rPr>
          <w:rFonts w:ascii="Tahoma" w:hAnsi="Tahoma" w:cs="Tahoma"/>
          <w:b/>
          <w:bCs/>
          <w:color w:val="000000"/>
        </w:rPr>
        <w:t>el Cabildo</w:t>
      </w:r>
      <w:r w:rsidRPr="00026F0C">
        <w:rPr>
          <w:rFonts w:ascii="Tahoma" w:hAnsi="Tahoma" w:cs="Tahoma"/>
          <w:color w:val="000000"/>
        </w:rPr>
        <w:t xml:space="preserve"> como ente matriz está </w:t>
      </w:r>
      <w:r w:rsidRPr="00026F0C">
        <w:rPr>
          <w:rFonts w:ascii="Tahoma" w:hAnsi="Tahoma" w:cs="Tahoma"/>
          <w:b/>
          <w:bCs/>
          <w:color w:val="000000"/>
        </w:rPr>
        <w:t>destinado a la financiación de inversiones.</w:t>
      </w:r>
      <w:r>
        <w:rPr>
          <w:rFonts w:ascii="Tahoma" w:hAnsi="Tahoma" w:cs="Tahoma"/>
          <w:b/>
          <w:bCs/>
          <w:color w:val="000000"/>
        </w:rPr>
        <w:t xml:space="preserve"> </w:t>
      </w:r>
    </w:p>
    <w:p w:rsidR="00B9049A" w:rsidRPr="00801590" w:rsidRDefault="00B9049A" w:rsidP="009651A8">
      <w:pPr>
        <w:pStyle w:val="Textoindependiente3"/>
        <w:numPr>
          <w:ilvl w:val="0"/>
          <w:numId w:val="2"/>
        </w:numPr>
        <w:spacing w:line="360" w:lineRule="auto"/>
        <w:rPr>
          <w:rFonts w:ascii="Tahoma" w:hAnsi="Tahoma" w:cs="Tahoma"/>
          <w:color w:val="000000"/>
        </w:rPr>
      </w:pPr>
      <w:r>
        <w:rPr>
          <w:rFonts w:ascii="Tahoma" w:hAnsi="Tahoma" w:cs="Tahoma"/>
          <w:color w:val="000000"/>
        </w:rPr>
        <w:t xml:space="preserve">Dentro de las operaciones de préstamos para la financiación de inversiones se </w:t>
      </w:r>
      <w:r w:rsidRPr="00C62111">
        <w:rPr>
          <w:rFonts w:ascii="Tahoma" w:hAnsi="Tahoma" w:cs="Tahoma"/>
          <w:color w:val="000000"/>
        </w:rPr>
        <w:t>refinanciaron</w:t>
      </w:r>
      <w:r>
        <w:rPr>
          <w:rFonts w:ascii="Tahoma" w:hAnsi="Tahoma" w:cs="Tahoma"/>
          <w:color w:val="000000"/>
        </w:rPr>
        <w:t xml:space="preserve"> en el ejercicio 2016, con el fin de abaratar los gastos financieros, un </w:t>
      </w:r>
      <w:r>
        <w:rPr>
          <w:rFonts w:ascii="Tahoma" w:hAnsi="Tahoma" w:cs="Tahoma"/>
          <w:color w:val="000000"/>
        </w:rPr>
        <w:lastRenderedPageBreak/>
        <w:t>montante de 91,9 millones de euros de los que quedaría una deuda viva a 31 de diciembre de 2018 de 72,7 millones de euros.</w:t>
      </w:r>
    </w:p>
    <w:p w:rsidR="00B9049A" w:rsidRDefault="00B9049A" w:rsidP="00C33814">
      <w:pPr>
        <w:spacing w:line="360" w:lineRule="auto"/>
        <w:ind w:left="708"/>
        <w:jc w:val="both"/>
        <w:rPr>
          <w:rFonts w:ascii="Tahoma" w:hAnsi="Tahoma" w:cs="Tahoma"/>
          <w:color w:val="000000"/>
          <w:sz w:val="22"/>
          <w:szCs w:val="22"/>
        </w:rPr>
      </w:pPr>
    </w:p>
    <w:p w:rsidR="00B9049A" w:rsidRDefault="00B9049A" w:rsidP="00161727">
      <w:pPr>
        <w:spacing w:line="360" w:lineRule="auto"/>
        <w:jc w:val="both"/>
        <w:rPr>
          <w:rFonts w:ascii="Tahoma" w:hAnsi="Tahoma" w:cs="Tahoma"/>
          <w:b/>
          <w:bCs/>
          <w:sz w:val="22"/>
          <w:szCs w:val="22"/>
        </w:rPr>
      </w:pPr>
      <w:r>
        <w:rPr>
          <w:rFonts w:ascii="Tahoma" w:hAnsi="Tahoma" w:cs="Tahoma"/>
          <w:b/>
          <w:bCs/>
          <w:sz w:val="22"/>
          <w:szCs w:val="22"/>
          <w:u w:val="single"/>
        </w:rPr>
        <w:t>3.3</w:t>
      </w:r>
      <w:r w:rsidRPr="00FF7AB2">
        <w:rPr>
          <w:rFonts w:ascii="Tahoma" w:hAnsi="Tahoma" w:cs="Tahoma"/>
          <w:b/>
          <w:bCs/>
          <w:sz w:val="22"/>
          <w:szCs w:val="22"/>
          <w:u w:val="single"/>
        </w:rPr>
        <w:t>. Previsiones de ahorro neto y porcentaje de endeudamiento</w:t>
      </w:r>
      <w:r w:rsidRPr="00FF7AB2">
        <w:rPr>
          <w:rFonts w:ascii="Tahoma" w:hAnsi="Tahoma" w:cs="Tahoma"/>
          <w:b/>
          <w:bCs/>
          <w:sz w:val="22"/>
          <w:szCs w:val="22"/>
        </w:rPr>
        <w:t>.</w:t>
      </w:r>
    </w:p>
    <w:p w:rsidR="00B9049A" w:rsidRPr="00605E1E" w:rsidRDefault="00B9049A" w:rsidP="00161727">
      <w:pPr>
        <w:spacing w:line="360" w:lineRule="auto"/>
        <w:jc w:val="both"/>
        <w:rPr>
          <w:rFonts w:ascii="Tahoma" w:hAnsi="Tahoma" w:cs="Tahoma"/>
          <w:color w:val="000000"/>
          <w:sz w:val="22"/>
          <w:szCs w:val="22"/>
        </w:rPr>
      </w:pPr>
      <w:r>
        <w:rPr>
          <w:rFonts w:ascii="Tahoma" w:hAnsi="Tahoma" w:cs="Tahoma"/>
          <w:color w:val="000000"/>
          <w:sz w:val="22"/>
          <w:szCs w:val="22"/>
        </w:rPr>
        <w:t>Tal y como se expone en el apartado 3.1 es</w:t>
      </w:r>
      <w:r w:rsidRPr="00605E1E">
        <w:rPr>
          <w:rFonts w:ascii="Tahoma" w:hAnsi="Tahoma" w:cs="Tahoma"/>
          <w:color w:val="000000"/>
          <w:sz w:val="22"/>
          <w:szCs w:val="22"/>
        </w:rPr>
        <w:t xml:space="preserve">ta Corporación </w:t>
      </w:r>
      <w:r>
        <w:rPr>
          <w:rFonts w:ascii="Tahoma" w:hAnsi="Tahoma" w:cs="Tahoma"/>
          <w:color w:val="000000"/>
          <w:sz w:val="22"/>
          <w:szCs w:val="22"/>
        </w:rPr>
        <w:t xml:space="preserve">no </w:t>
      </w:r>
      <w:r w:rsidRPr="00605E1E">
        <w:rPr>
          <w:rFonts w:ascii="Tahoma" w:hAnsi="Tahoma" w:cs="Tahoma"/>
          <w:color w:val="000000"/>
          <w:sz w:val="22"/>
          <w:szCs w:val="22"/>
        </w:rPr>
        <w:t xml:space="preserve">tiene previsto en su </w:t>
      </w:r>
      <w:r>
        <w:rPr>
          <w:rFonts w:ascii="Tahoma" w:hAnsi="Tahoma" w:cs="Tahoma"/>
          <w:color w:val="000000"/>
          <w:sz w:val="22"/>
          <w:szCs w:val="22"/>
        </w:rPr>
        <w:t>P</w:t>
      </w:r>
      <w:r w:rsidRPr="00605E1E">
        <w:rPr>
          <w:rFonts w:ascii="Tahoma" w:hAnsi="Tahoma" w:cs="Tahoma"/>
          <w:color w:val="000000"/>
          <w:sz w:val="22"/>
          <w:szCs w:val="22"/>
        </w:rPr>
        <w:t>resupuesto para el ejercicio 201</w:t>
      </w:r>
      <w:r>
        <w:rPr>
          <w:rFonts w:ascii="Tahoma" w:hAnsi="Tahoma" w:cs="Tahoma"/>
          <w:color w:val="000000"/>
          <w:sz w:val="22"/>
          <w:szCs w:val="22"/>
        </w:rPr>
        <w:t>8</w:t>
      </w:r>
      <w:r w:rsidRPr="00605E1E">
        <w:rPr>
          <w:rFonts w:ascii="Tahoma" w:hAnsi="Tahoma" w:cs="Tahoma"/>
          <w:color w:val="000000"/>
          <w:sz w:val="22"/>
          <w:szCs w:val="22"/>
        </w:rPr>
        <w:t xml:space="preserve"> acudir a operaciones de crédito a largo plazo para financiar sus inversiones</w:t>
      </w:r>
      <w:r>
        <w:rPr>
          <w:rFonts w:ascii="Tahoma" w:hAnsi="Tahoma" w:cs="Tahoma"/>
          <w:color w:val="000000"/>
          <w:sz w:val="22"/>
          <w:szCs w:val="22"/>
        </w:rPr>
        <w:t xml:space="preserve">. Sin embargo, si durante el ejercicio se decidiera acometer la financiación de inversiones a través de operaciones de préstamo sería necesario </w:t>
      </w:r>
      <w:r w:rsidRPr="00605E1E">
        <w:rPr>
          <w:rFonts w:ascii="Tahoma" w:hAnsi="Tahoma" w:cs="Tahoma"/>
          <w:color w:val="000000"/>
          <w:sz w:val="22"/>
          <w:szCs w:val="22"/>
        </w:rPr>
        <w:t xml:space="preserve">disponer de las variables de ahorro neto y del porcentaje de endeudamiento de la Corporación en los términos previstos por la ley, así como cumplir con los objetivos de estabilidad y deuda pública según el art. 20.2 de la Ley 2/2012 para determinar si la Corporación se puede endeudar o no y si </w:t>
      </w:r>
      <w:r>
        <w:rPr>
          <w:rFonts w:ascii="Tahoma" w:hAnsi="Tahoma" w:cs="Tahoma"/>
          <w:color w:val="000000"/>
          <w:sz w:val="22"/>
          <w:szCs w:val="22"/>
        </w:rPr>
        <w:t>así fuera</w:t>
      </w:r>
      <w:r w:rsidRPr="00605E1E">
        <w:rPr>
          <w:rFonts w:ascii="Tahoma" w:hAnsi="Tahoma" w:cs="Tahoma"/>
          <w:color w:val="000000"/>
          <w:sz w:val="22"/>
          <w:szCs w:val="22"/>
        </w:rPr>
        <w:t>, si necesita</w:t>
      </w:r>
      <w:r>
        <w:rPr>
          <w:rFonts w:ascii="Tahoma" w:hAnsi="Tahoma" w:cs="Tahoma"/>
          <w:color w:val="000000"/>
          <w:sz w:val="22"/>
          <w:szCs w:val="22"/>
        </w:rPr>
        <w:t>ra</w:t>
      </w:r>
      <w:r w:rsidRPr="00605E1E">
        <w:rPr>
          <w:rFonts w:ascii="Tahoma" w:hAnsi="Tahoma" w:cs="Tahoma"/>
          <w:color w:val="000000"/>
          <w:sz w:val="22"/>
          <w:szCs w:val="22"/>
        </w:rPr>
        <w:t xml:space="preserve"> autorización previa del Ministerio. </w:t>
      </w:r>
    </w:p>
    <w:p w:rsidR="00B9049A" w:rsidRPr="00042F20" w:rsidRDefault="00B9049A" w:rsidP="00161727">
      <w:pPr>
        <w:spacing w:line="360" w:lineRule="auto"/>
        <w:jc w:val="both"/>
        <w:rPr>
          <w:rFonts w:ascii="Tahoma" w:hAnsi="Tahoma" w:cs="Tahoma"/>
          <w:color w:val="FF0000"/>
          <w:sz w:val="22"/>
          <w:szCs w:val="22"/>
        </w:rPr>
      </w:pPr>
    </w:p>
    <w:p w:rsidR="00B9049A" w:rsidRPr="00605E1E" w:rsidRDefault="00B9049A" w:rsidP="00161727">
      <w:pPr>
        <w:spacing w:line="360" w:lineRule="auto"/>
        <w:jc w:val="both"/>
        <w:rPr>
          <w:rFonts w:ascii="Tahoma" w:hAnsi="Tahoma" w:cs="Tahoma"/>
          <w:color w:val="000000"/>
          <w:sz w:val="22"/>
          <w:szCs w:val="22"/>
        </w:rPr>
      </w:pPr>
      <w:r>
        <w:rPr>
          <w:rFonts w:ascii="Tahoma" w:hAnsi="Tahoma" w:cs="Tahoma"/>
          <w:color w:val="000000"/>
          <w:sz w:val="22"/>
          <w:szCs w:val="22"/>
        </w:rPr>
        <w:t>No obstante, l</w:t>
      </w:r>
      <w:r w:rsidRPr="00605E1E">
        <w:rPr>
          <w:rFonts w:ascii="Tahoma" w:hAnsi="Tahoma" w:cs="Tahoma"/>
          <w:color w:val="000000"/>
          <w:sz w:val="22"/>
          <w:szCs w:val="22"/>
        </w:rPr>
        <w:t>as previsiones que en este momento, con los datos disponibles</w:t>
      </w:r>
      <w:r>
        <w:rPr>
          <w:rFonts w:ascii="Tahoma" w:hAnsi="Tahoma" w:cs="Tahoma"/>
          <w:color w:val="000000"/>
          <w:sz w:val="22"/>
          <w:szCs w:val="22"/>
        </w:rPr>
        <w:t xml:space="preserve"> y la normativa en vigor,</w:t>
      </w:r>
      <w:r w:rsidRPr="00605E1E">
        <w:rPr>
          <w:rFonts w:ascii="Tahoma" w:hAnsi="Tahoma" w:cs="Tahoma"/>
          <w:color w:val="000000"/>
          <w:sz w:val="22"/>
          <w:szCs w:val="22"/>
        </w:rPr>
        <w:t xml:space="preserve"> se podrían realizar son las siguientes:</w:t>
      </w:r>
    </w:p>
    <w:p w:rsidR="00B9049A" w:rsidRPr="00605E1E" w:rsidRDefault="00B9049A" w:rsidP="00161727">
      <w:pPr>
        <w:spacing w:line="360" w:lineRule="auto"/>
        <w:jc w:val="both"/>
        <w:rPr>
          <w:rFonts w:ascii="Tahoma" w:hAnsi="Tahoma" w:cs="Tahoma"/>
          <w:color w:val="000000"/>
          <w:sz w:val="22"/>
          <w:szCs w:val="22"/>
        </w:rPr>
      </w:pPr>
    </w:p>
    <w:p w:rsidR="00B9049A" w:rsidRPr="0045268D" w:rsidRDefault="00B9049A" w:rsidP="00467B74">
      <w:pPr>
        <w:numPr>
          <w:ilvl w:val="0"/>
          <w:numId w:val="17"/>
        </w:numPr>
        <w:spacing w:line="360" w:lineRule="auto"/>
        <w:jc w:val="both"/>
        <w:rPr>
          <w:rFonts w:ascii="Tahoma" w:hAnsi="Tahoma" w:cs="Tahoma"/>
          <w:color w:val="FF0000"/>
          <w:sz w:val="22"/>
          <w:szCs w:val="22"/>
        </w:rPr>
      </w:pPr>
      <w:r w:rsidRPr="00605E1E">
        <w:rPr>
          <w:rFonts w:ascii="Tahoma" w:hAnsi="Tahoma" w:cs="Tahoma"/>
          <w:color w:val="000000"/>
          <w:sz w:val="22"/>
          <w:szCs w:val="22"/>
        </w:rPr>
        <w:t xml:space="preserve">Por lo que respecta al </w:t>
      </w:r>
      <w:r w:rsidRPr="00605E1E">
        <w:rPr>
          <w:rFonts w:ascii="Tahoma" w:hAnsi="Tahoma" w:cs="Tahoma"/>
          <w:b/>
          <w:bCs/>
          <w:color w:val="000000"/>
          <w:sz w:val="22"/>
          <w:szCs w:val="22"/>
        </w:rPr>
        <w:t>ahorro neto de la Corporación</w:t>
      </w:r>
      <w:r w:rsidRPr="00605E1E">
        <w:rPr>
          <w:rFonts w:ascii="Tahoma" w:hAnsi="Tahoma" w:cs="Tahoma"/>
          <w:color w:val="000000"/>
          <w:sz w:val="22"/>
          <w:szCs w:val="22"/>
        </w:rPr>
        <w:t xml:space="preserve"> se estima en base, entre otros datos, al avance de la liquidación del ejercicio 201</w:t>
      </w:r>
      <w:r>
        <w:rPr>
          <w:rFonts w:ascii="Tahoma" w:hAnsi="Tahoma" w:cs="Tahoma"/>
          <w:color w:val="000000"/>
          <w:sz w:val="22"/>
          <w:szCs w:val="22"/>
        </w:rPr>
        <w:t>7</w:t>
      </w:r>
      <w:r w:rsidRPr="00605E1E">
        <w:rPr>
          <w:rFonts w:ascii="Tahoma" w:hAnsi="Tahoma" w:cs="Tahoma"/>
          <w:color w:val="000000"/>
          <w:sz w:val="22"/>
          <w:szCs w:val="22"/>
        </w:rPr>
        <w:t xml:space="preserve"> que acompaña a la documentación del Presupuesto 201</w:t>
      </w:r>
      <w:r>
        <w:rPr>
          <w:rFonts w:ascii="Tahoma" w:hAnsi="Tahoma" w:cs="Tahoma"/>
          <w:color w:val="000000"/>
          <w:sz w:val="22"/>
          <w:szCs w:val="22"/>
        </w:rPr>
        <w:t>8 aportada por la Dirección de la Oficina de Contabilidad</w:t>
      </w:r>
      <w:r w:rsidRPr="00605E1E">
        <w:rPr>
          <w:rFonts w:ascii="Tahoma" w:hAnsi="Tahoma" w:cs="Tahoma"/>
          <w:color w:val="000000"/>
          <w:sz w:val="22"/>
          <w:szCs w:val="22"/>
        </w:rPr>
        <w:t>, con los siguientes ajustes:</w:t>
      </w:r>
    </w:p>
    <w:p w:rsidR="00B9049A" w:rsidRPr="00042F20" w:rsidRDefault="00B9049A" w:rsidP="0045268D">
      <w:pPr>
        <w:spacing w:line="360" w:lineRule="auto"/>
        <w:ind w:left="360"/>
        <w:jc w:val="both"/>
        <w:rPr>
          <w:rFonts w:ascii="Tahoma" w:hAnsi="Tahoma" w:cs="Tahoma"/>
          <w:color w:val="FF0000"/>
          <w:sz w:val="22"/>
          <w:szCs w:val="22"/>
        </w:rPr>
      </w:pPr>
    </w:p>
    <w:p w:rsidR="00B9049A" w:rsidRPr="00382733" w:rsidRDefault="00B9049A" w:rsidP="008677B5">
      <w:pPr>
        <w:numPr>
          <w:ilvl w:val="1"/>
          <w:numId w:val="17"/>
        </w:numPr>
        <w:spacing w:line="360" w:lineRule="auto"/>
        <w:jc w:val="both"/>
        <w:rPr>
          <w:rFonts w:ascii="Tahoma" w:hAnsi="Tahoma" w:cs="Tahoma"/>
          <w:color w:val="000000"/>
          <w:sz w:val="22"/>
          <w:szCs w:val="22"/>
        </w:rPr>
      </w:pPr>
      <w:r w:rsidRPr="00382733">
        <w:rPr>
          <w:rFonts w:ascii="Tahoma" w:hAnsi="Tahoma" w:cs="Tahoma"/>
          <w:color w:val="000000"/>
          <w:sz w:val="22"/>
          <w:szCs w:val="22"/>
        </w:rPr>
        <w:t>De la previsión de ingresos corrientes a 31 de diciembre, se han deducido los importes presupuestados a transferir a los Ayuntamientos en concepto de Carta Municipal y una previsión tanto de los ingresos afectados a operaciones de capital como de los ingresos extraordinarios aplicados a los capítulos I a V que por su afectación legal y/o carácter no recurrente, no tienen la consideración de ingresos ordinarios.</w:t>
      </w:r>
    </w:p>
    <w:p w:rsidR="00B9049A" w:rsidRPr="00382733" w:rsidRDefault="00B9049A" w:rsidP="008677B5">
      <w:pPr>
        <w:numPr>
          <w:ilvl w:val="1"/>
          <w:numId w:val="17"/>
        </w:numPr>
        <w:spacing w:line="360" w:lineRule="auto"/>
        <w:jc w:val="both"/>
        <w:rPr>
          <w:rFonts w:ascii="Tahoma" w:hAnsi="Tahoma" w:cs="Tahoma"/>
          <w:color w:val="000000"/>
          <w:sz w:val="22"/>
          <w:szCs w:val="22"/>
        </w:rPr>
      </w:pPr>
      <w:r w:rsidRPr="00382733">
        <w:rPr>
          <w:rFonts w:ascii="Tahoma" w:hAnsi="Tahoma" w:cs="Tahoma"/>
          <w:color w:val="000000"/>
          <w:sz w:val="22"/>
          <w:szCs w:val="22"/>
        </w:rPr>
        <w:t>De la previsión de los gastos corrientes se han descontado los importes presupuestados a transferir a los Ayuntamientos en concepto de Carta Municipal, las obligaciones reconocidas derivadas de modificaciones de crédito que ha</w:t>
      </w:r>
      <w:r>
        <w:rPr>
          <w:rFonts w:ascii="Tahoma" w:hAnsi="Tahoma" w:cs="Tahoma"/>
          <w:color w:val="000000"/>
          <w:sz w:val="22"/>
          <w:szCs w:val="22"/>
        </w:rPr>
        <w:t>n</w:t>
      </w:r>
      <w:r w:rsidRPr="00382733">
        <w:rPr>
          <w:rFonts w:ascii="Tahoma" w:hAnsi="Tahoma" w:cs="Tahoma"/>
          <w:color w:val="000000"/>
          <w:sz w:val="22"/>
          <w:szCs w:val="22"/>
        </w:rPr>
        <w:t xml:space="preserve"> sido financiadas con Remanente líquido de Tesorería según el artículo 53.1 del TRLRHL, además del capítulo III de gastos.</w:t>
      </w:r>
    </w:p>
    <w:p w:rsidR="00B9049A" w:rsidRDefault="00B9049A" w:rsidP="00D473EC">
      <w:pPr>
        <w:spacing w:line="360" w:lineRule="auto"/>
        <w:ind w:left="709"/>
        <w:jc w:val="both"/>
        <w:rPr>
          <w:rFonts w:ascii="Tahoma" w:hAnsi="Tahoma" w:cs="Tahoma"/>
          <w:color w:val="FF0000"/>
          <w:sz w:val="22"/>
          <w:szCs w:val="22"/>
        </w:rPr>
      </w:pPr>
    </w:p>
    <w:p w:rsidR="00B9049A" w:rsidRDefault="00B9049A" w:rsidP="00D473EC">
      <w:pPr>
        <w:spacing w:line="360" w:lineRule="auto"/>
        <w:ind w:left="709"/>
        <w:jc w:val="both"/>
        <w:rPr>
          <w:rFonts w:ascii="Tahoma" w:hAnsi="Tahoma" w:cs="Tahoma"/>
          <w:color w:val="FF0000"/>
          <w:sz w:val="22"/>
          <w:szCs w:val="22"/>
        </w:rPr>
      </w:pPr>
    </w:p>
    <w:p w:rsidR="00B9049A" w:rsidRDefault="00B9049A" w:rsidP="00D473EC">
      <w:pPr>
        <w:spacing w:line="360" w:lineRule="auto"/>
        <w:ind w:left="709"/>
        <w:jc w:val="both"/>
        <w:rPr>
          <w:rFonts w:ascii="Tahoma" w:hAnsi="Tahoma" w:cs="Tahoma"/>
          <w:color w:val="FF0000"/>
          <w:sz w:val="22"/>
          <w:szCs w:val="22"/>
        </w:rPr>
      </w:pPr>
    </w:p>
    <w:p w:rsidR="00B9049A" w:rsidRPr="00042F20" w:rsidRDefault="00B9049A" w:rsidP="00D473EC">
      <w:pPr>
        <w:spacing w:line="360" w:lineRule="auto"/>
        <w:ind w:left="709"/>
        <w:jc w:val="both"/>
        <w:rPr>
          <w:rFonts w:ascii="Tahoma" w:hAnsi="Tahoma" w:cs="Tahoma"/>
          <w:color w:val="FF0000"/>
          <w:sz w:val="22"/>
          <w:szCs w:val="22"/>
        </w:rPr>
      </w:pPr>
    </w:p>
    <w:p w:rsidR="00B9049A" w:rsidRPr="003D57DC" w:rsidRDefault="00B9049A" w:rsidP="00646845">
      <w:pPr>
        <w:spacing w:line="360" w:lineRule="auto"/>
        <w:ind w:firstLine="709"/>
        <w:jc w:val="both"/>
        <w:rPr>
          <w:rFonts w:ascii="Tahoma" w:hAnsi="Tahoma" w:cs="Tahoma"/>
          <w:color w:val="000000"/>
          <w:sz w:val="22"/>
          <w:szCs w:val="22"/>
        </w:rPr>
      </w:pPr>
      <w:r w:rsidRPr="003D57DC">
        <w:rPr>
          <w:rFonts w:ascii="Tahoma" w:hAnsi="Tahoma" w:cs="Tahoma"/>
          <w:color w:val="000000"/>
          <w:sz w:val="22"/>
          <w:szCs w:val="22"/>
        </w:rPr>
        <w:t>El cálculo de dicha magnitud sería:</w:t>
      </w:r>
    </w:p>
    <w:p w:rsidR="00B9049A" w:rsidRPr="00042F20" w:rsidRDefault="00B9049A" w:rsidP="00646845">
      <w:pPr>
        <w:spacing w:line="360" w:lineRule="auto"/>
        <w:ind w:firstLine="709"/>
        <w:jc w:val="both"/>
        <w:rPr>
          <w:rFonts w:ascii="Tahoma" w:hAnsi="Tahoma" w:cs="Tahoma"/>
          <w:color w:val="FF0000"/>
          <w:sz w:val="22"/>
          <w:szCs w:val="22"/>
        </w:rPr>
      </w:pPr>
    </w:p>
    <w:p w:rsidR="00B9049A" w:rsidRPr="0045517D" w:rsidRDefault="0026194C" w:rsidP="00616E0E">
      <w:pPr>
        <w:spacing w:line="360" w:lineRule="auto"/>
        <w:ind w:firstLine="709"/>
        <w:jc w:val="center"/>
        <w:rPr>
          <w:rFonts w:ascii="Tahoma" w:hAnsi="Tahoma" w:cs="Tahoma"/>
          <w:color w:val="FF0000"/>
          <w:sz w:val="22"/>
          <w:szCs w:val="22"/>
        </w:rPr>
      </w:pPr>
      <w:r>
        <w:rPr>
          <w:noProof/>
        </w:rPr>
        <w:drawing>
          <wp:inline distT="0" distB="0" distL="0" distR="0">
            <wp:extent cx="5346700" cy="1968500"/>
            <wp:effectExtent l="1905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346700" cy="1968500"/>
                    </a:xfrm>
                    <a:prstGeom prst="rect">
                      <a:avLst/>
                    </a:prstGeom>
                    <a:noFill/>
                    <a:ln w="9525">
                      <a:noFill/>
                      <a:miter lim="800000"/>
                      <a:headEnd/>
                      <a:tailEnd/>
                    </a:ln>
                  </pic:spPr>
                </pic:pic>
              </a:graphicData>
            </a:graphic>
          </wp:inline>
        </w:drawing>
      </w:r>
    </w:p>
    <w:p w:rsidR="00B9049A" w:rsidRPr="00042F20" w:rsidRDefault="00B9049A" w:rsidP="00083B68">
      <w:pPr>
        <w:spacing w:line="360" w:lineRule="auto"/>
        <w:ind w:left="2127" w:firstLine="425"/>
        <w:jc w:val="both"/>
        <w:rPr>
          <w:color w:val="FF0000"/>
        </w:rPr>
      </w:pPr>
    </w:p>
    <w:p w:rsidR="00B9049A" w:rsidRPr="009C16E8" w:rsidRDefault="00B9049A" w:rsidP="00A63B0E">
      <w:pPr>
        <w:spacing w:line="360" w:lineRule="auto"/>
        <w:ind w:left="708"/>
        <w:jc w:val="both"/>
        <w:rPr>
          <w:rFonts w:ascii="Tahoma" w:hAnsi="Tahoma" w:cs="Tahoma"/>
          <w:color w:val="000000"/>
          <w:sz w:val="22"/>
          <w:szCs w:val="22"/>
        </w:rPr>
      </w:pPr>
      <w:r w:rsidRPr="009C16E8">
        <w:rPr>
          <w:rFonts w:ascii="Tahoma" w:hAnsi="Tahoma" w:cs="Tahoma"/>
          <w:color w:val="000000"/>
          <w:sz w:val="22"/>
          <w:szCs w:val="22"/>
        </w:rPr>
        <w:t xml:space="preserve">Como se puede observar en base a las previsiones, la Corporación contaría con </w:t>
      </w:r>
      <w:r w:rsidRPr="009C16E8">
        <w:rPr>
          <w:rFonts w:ascii="Tahoma" w:hAnsi="Tahoma" w:cs="Tahoma"/>
          <w:b/>
          <w:bCs/>
          <w:color w:val="000000"/>
          <w:sz w:val="22"/>
          <w:szCs w:val="22"/>
        </w:rPr>
        <w:t xml:space="preserve">ahorro neto positivo, </w:t>
      </w:r>
      <w:r w:rsidRPr="009C16E8">
        <w:rPr>
          <w:rFonts w:ascii="Tahoma" w:hAnsi="Tahoma" w:cs="Tahoma"/>
          <w:color w:val="000000"/>
          <w:sz w:val="22"/>
          <w:szCs w:val="22"/>
        </w:rPr>
        <w:t>el cual podría variar en su cuantía dependiendo del importe definitivo de la ejecución de ingresos y gastos así como de los ajustes a realizar, aunque no en cuanto a su signo, dada la magnitud de la variable.</w:t>
      </w:r>
    </w:p>
    <w:p w:rsidR="00B9049A" w:rsidRPr="00042F20" w:rsidRDefault="00B9049A" w:rsidP="00A63B0E">
      <w:pPr>
        <w:spacing w:line="360" w:lineRule="auto"/>
        <w:ind w:left="708"/>
        <w:jc w:val="both"/>
        <w:rPr>
          <w:rFonts w:ascii="Tahoma" w:hAnsi="Tahoma" w:cs="Tahoma"/>
          <w:color w:val="FF0000"/>
          <w:sz w:val="22"/>
          <w:szCs w:val="22"/>
        </w:rPr>
      </w:pPr>
    </w:p>
    <w:p w:rsidR="00B9049A" w:rsidRPr="00C62111" w:rsidRDefault="00B9049A" w:rsidP="00006D63">
      <w:pPr>
        <w:spacing w:line="360" w:lineRule="auto"/>
        <w:ind w:left="709"/>
        <w:jc w:val="both"/>
        <w:rPr>
          <w:rFonts w:ascii="Tahoma" w:hAnsi="Tahoma" w:cs="Tahoma"/>
          <w:color w:val="000000"/>
          <w:sz w:val="22"/>
          <w:szCs w:val="22"/>
        </w:rPr>
      </w:pPr>
      <w:r w:rsidRPr="009C16E8">
        <w:rPr>
          <w:rFonts w:ascii="Tahoma" w:hAnsi="Tahoma" w:cs="Tahoma"/>
          <w:color w:val="000000"/>
          <w:sz w:val="22"/>
          <w:szCs w:val="22"/>
        </w:rPr>
        <w:t>Para la anualidad teórica de amortización de las operaciones de préstamo, se ha tomado el último TAE informado por las entidades financieras en relación a cada una de las operaciones</w:t>
      </w:r>
      <w:r>
        <w:rPr>
          <w:rFonts w:ascii="Tahoma" w:hAnsi="Tahoma" w:cs="Tahoma"/>
          <w:color w:val="000000"/>
          <w:sz w:val="22"/>
          <w:szCs w:val="22"/>
        </w:rPr>
        <w:t xml:space="preserve"> vigentes a 31 de diciembre de 2017</w:t>
      </w:r>
      <w:r w:rsidRPr="00C62111">
        <w:rPr>
          <w:rFonts w:ascii="Tahoma" w:hAnsi="Tahoma" w:cs="Tahoma"/>
          <w:color w:val="000000"/>
          <w:sz w:val="22"/>
          <w:szCs w:val="22"/>
        </w:rPr>
        <w:t>.</w:t>
      </w:r>
    </w:p>
    <w:p w:rsidR="00B9049A" w:rsidRPr="00042F20" w:rsidRDefault="00B9049A" w:rsidP="00A63B0E">
      <w:pPr>
        <w:spacing w:line="360" w:lineRule="auto"/>
        <w:ind w:left="708"/>
        <w:jc w:val="both"/>
        <w:rPr>
          <w:rFonts w:ascii="Tahoma" w:hAnsi="Tahoma" w:cs="Tahoma"/>
          <w:color w:val="FF0000"/>
          <w:sz w:val="22"/>
          <w:szCs w:val="22"/>
        </w:rPr>
      </w:pPr>
    </w:p>
    <w:p w:rsidR="00B9049A" w:rsidRPr="00605E1E" w:rsidRDefault="00B9049A" w:rsidP="00001881">
      <w:pPr>
        <w:numPr>
          <w:ilvl w:val="0"/>
          <w:numId w:val="17"/>
        </w:numPr>
        <w:spacing w:line="360" w:lineRule="auto"/>
        <w:jc w:val="both"/>
        <w:rPr>
          <w:rFonts w:ascii="Tahoma" w:hAnsi="Tahoma" w:cs="Tahoma"/>
          <w:color w:val="000000"/>
          <w:sz w:val="22"/>
          <w:szCs w:val="22"/>
        </w:rPr>
      </w:pPr>
      <w:r w:rsidRPr="00605E1E">
        <w:rPr>
          <w:rFonts w:ascii="Tahoma" w:hAnsi="Tahoma" w:cs="Tahoma"/>
          <w:color w:val="000000"/>
          <w:sz w:val="22"/>
          <w:szCs w:val="22"/>
        </w:rPr>
        <w:t xml:space="preserve">En lo que se refiere al ratio de </w:t>
      </w:r>
      <w:r w:rsidRPr="00605E1E">
        <w:rPr>
          <w:rFonts w:ascii="Tahoma" w:hAnsi="Tahoma" w:cs="Tahoma"/>
          <w:b/>
          <w:bCs/>
          <w:color w:val="000000"/>
          <w:sz w:val="22"/>
          <w:szCs w:val="22"/>
        </w:rPr>
        <w:t>deuda viva sobre ingresos corrientes</w:t>
      </w:r>
      <w:r w:rsidRPr="00605E1E">
        <w:rPr>
          <w:rFonts w:ascii="Tahoma" w:hAnsi="Tahoma" w:cs="Tahoma"/>
          <w:color w:val="000000"/>
          <w:sz w:val="22"/>
          <w:szCs w:val="22"/>
        </w:rPr>
        <w:t xml:space="preserve">, éste ha de calcularse </w:t>
      </w:r>
      <w:r w:rsidRPr="00605E1E">
        <w:rPr>
          <w:rFonts w:ascii="Tahoma" w:hAnsi="Tahoma" w:cs="Tahoma"/>
          <w:b/>
          <w:bCs/>
          <w:color w:val="000000"/>
          <w:sz w:val="22"/>
          <w:szCs w:val="22"/>
        </w:rPr>
        <w:t>en términos consolidados</w:t>
      </w:r>
      <w:r w:rsidRPr="00605E1E">
        <w:rPr>
          <w:rFonts w:ascii="Tahoma" w:hAnsi="Tahoma" w:cs="Tahoma"/>
          <w:color w:val="000000"/>
          <w:sz w:val="22"/>
          <w:szCs w:val="22"/>
        </w:rPr>
        <w:t xml:space="preserve"> según lo establecido en el SEC-2010 y en el TRLRHL, esto es, incluyendo tanto al propio Cabildo como a los OO.AA., entes y sociedades mercantiles dependientes que no se financien mayoritariamente con ingresos de mercado y considerando todas las operaciones vigentes a 31 de diciembre del año anterior, incluido el riesgo deducido de avales, incrementado, en su caso, en los saldos de operaciones formalizadas no dispuestos y en el importe de la operación proyectada.</w:t>
      </w:r>
    </w:p>
    <w:p w:rsidR="00B9049A" w:rsidRPr="00605E1E" w:rsidRDefault="00B9049A" w:rsidP="001A11A2">
      <w:pPr>
        <w:spacing w:before="100" w:beforeAutospacing="1" w:after="100" w:afterAutospacing="1" w:line="360" w:lineRule="auto"/>
        <w:ind w:left="709"/>
        <w:jc w:val="both"/>
        <w:rPr>
          <w:rFonts w:ascii="Tahoma" w:hAnsi="Tahoma" w:cs="Tahoma"/>
          <w:color w:val="000000"/>
          <w:sz w:val="22"/>
          <w:szCs w:val="22"/>
        </w:rPr>
      </w:pPr>
      <w:r w:rsidRPr="00605E1E">
        <w:rPr>
          <w:rFonts w:ascii="Tahoma" w:hAnsi="Tahoma" w:cs="Tahoma"/>
          <w:color w:val="000000"/>
          <w:sz w:val="22"/>
          <w:szCs w:val="22"/>
        </w:rPr>
        <w:t>Por tanto, una vez más hay que tener en cuenta que para el cálculo del ratio de endeudamiento es preciso contar con la liquidación del presupuesto del ejercicio 201</w:t>
      </w:r>
      <w:r>
        <w:rPr>
          <w:rFonts w:ascii="Tahoma" w:hAnsi="Tahoma" w:cs="Tahoma"/>
          <w:color w:val="000000"/>
          <w:sz w:val="22"/>
          <w:szCs w:val="22"/>
        </w:rPr>
        <w:t>7</w:t>
      </w:r>
      <w:r w:rsidRPr="00605E1E">
        <w:rPr>
          <w:rFonts w:ascii="Tahoma" w:hAnsi="Tahoma" w:cs="Tahoma"/>
          <w:color w:val="000000"/>
          <w:sz w:val="22"/>
          <w:szCs w:val="22"/>
        </w:rPr>
        <w:t xml:space="preserve"> tanto del Cabildo como de los entes que forman el perímetro de consolidación y llevar a cabo los ajustes en los ingresos corrientes definidos en la disposición trigésima primera de la LPGE 2013, que tiene carácter indefinido.</w:t>
      </w:r>
    </w:p>
    <w:p w:rsidR="00B9049A" w:rsidRDefault="00B9049A" w:rsidP="003A517F">
      <w:pPr>
        <w:spacing w:line="360" w:lineRule="auto"/>
        <w:ind w:left="709"/>
        <w:jc w:val="both"/>
        <w:rPr>
          <w:rFonts w:ascii="Tahoma" w:hAnsi="Tahoma" w:cs="Tahoma"/>
          <w:color w:val="FF0000"/>
          <w:sz w:val="22"/>
          <w:szCs w:val="22"/>
        </w:rPr>
      </w:pPr>
    </w:p>
    <w:p w:rsidR="00B9049A" w:rsidRPr="00042F20" w:rsidRDefault="00B9049A" w:rsidP="003A517F">
      <w:pPr>
        <w:spacing w:line="360" w:lineRule="auto"/>
        <w:ind w:left="709"/>
        <w:jc w:val="both"/>
        <w:rPr>
          <w:rFonts w:ascii="Tahoma" w:hAnsi="Tahoma" w:cs="Tahoma"/>
          <w:color w:val="FF0000"/>
          <w:sz w:val="22"/>
          <w:szCs w:val="22"/>
        </w:rPr>
      </w:pPr>
    </w:p>
    <w:p w:rsidR="00B9049A" w:rsidRPr="00086826" w:rsidRDefault="00B9049A" w:rsidP="003A517F">
      <w:pPr>
        <w:spacing w:line="360" w:lineRule="auto"/>
        <w:ind w:left="709"/>
        <w:jc w:val="both"/>
        <w:rPr>
          <w:rFonts w:ascii="Tahoma" w:hAnsi="Tahoma" w:cs="Tahoma"/>
          <w:color w:val="000000"/>
          <w:sz w:val="22"/>
          <w:szCs w:val="22"/>
        </w:rPr>
      </w:pPr>
      <w:r w:rsidRPr="00086826">
        <w:rPr>
          <w:rFonts w:ascii="Tahoma" w:hAnsi="Tahoma" w:cs="Tahoma"/>
          <w:color w:val="000000"/>
          <w:sz w:val="22"/>
          <w:szCs w:val="22"/>
        </w:rPr>
        <w:t>En este sentido, la sectorización de los entes dependientes de esta Corporación realizada por la IGAE establece que deben considerarse las siguientes entidades:</w:t>
      </w:r>
    </w:p>
    <w:p w:rsidR="00B9049A" w:rsidRPr="00042F20" w:rsidRDefault="00B9049A" w:rsidP="003A517F">
      <w:pPr>
        <w:spacing w:line="360" w:lineRule="auto"/>
        <w:ind w:left="709"/>
        <w:jc w:val="both"/>
        <w:rPr>
          <w:rFonts w:ascii="Tahoma" w:hAnsi="Tahoma" w:cs="Tahoma"/>
          <w:color w:val="FF0000"/>
          <w:sz w:val="22"/>
          <w:szCs w:val="22"/>
        </w:rPr>
      </w:pPr>
    </w:p>
    <w:p w:rsidR="00B9049A" w:rsidRPr="00C726BF" w:rsidRDefault="0026194C" w:rsidP="00BC4158">
      <w:pPr>
        <w:spacing w:line="360" w:lineRule="auto"/>
        <w:jc w:val="center"/>
        <w:rPr>
          <w:color w:val="FF0000"/>
        </w:rPr>
      </w:pPr>
      <w:r>
        <w:rPr>
          <w:noProof/>
        </w:rPr>
        <w:drawing>
          <wp:inline distT="0" distB="0" distL="0" distR="0">
            <wp:extent cx="6096000" cy="54356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6096000" cy="5435600"/>
                    </a:xfrm>
                    <a:prstGeom prst="rect">
                      <a:avLst/>
                    </a:prstGeom>
                    <a:noFill/>
                    <a:ln w="9525">
                      <a:noFill/>
                      <a:miter lim="800000"/>
                      <a:headEnd/>
                      <a:tailEnd/>
                    </a:ln>
                  </pic:spPr>
                </pic:pic>
              </a:graphicData>
            </a:graphic>
          </wp:inline>
        </w:drawing>
      </w:r>
    </w:p>
    <w:p w:rsidR="00B9049A" w:rsidRPr="00042F20" w:rsidRDefault="00B9049A" w:rsidP="006A091E">
      <w:pPr>
        <w:spacing w:line="360" w:lineRule="auto"/>
        <w:ind w:left="360"/>
        <w:jc w:val="both"/>
        <w:rPr>
          <w:rFonts w:ascii="Tahoma" w:hAnsi="Tahoma" w:cs="Tahoma"/>
          <w:color w:val="FF0000"/>
          <w:sz w:val="22"/>
          <w:szCs w:val="22"/>
        </w:rPr>
      </w:pPr>
    </w:p>
    <w:p w:rsidR="00B9049A" w:rsidRDefault="00B9049A" w:rsidP="00923B7B">
      <w:pPr>
        <w:spacing w:line="360" w:lineRule="auto"/>
        <w:jc w:val="both"/>
        <w:rPr>
          <w:rFonts w:ascii="Tahoma" w:hAnsi="Tahoma" w:cs="Tahoma"/>
          <w:sz w:val="22"/>
          <w:szCs w:val="22"/>
        </w:rPr>
      </w:pPr>
      <w:r>
        <w:rPr>
          <w:rFonts w:ascii="Tahoma" w:hAnsi="Tahoma" w:cs="Tahoma"/>
          <w:sz w:val="22"/>
          <w:szCs w:val="22"/>
        </w:rPr>
        <w:t xml:space="preserve">De todas las entidades relacionadas </w:t>
      </w:r>
      <w:r w:rsidRPr="00BC4158">
        <w:rPr>
          <w:rFonts w:ascii="Tahoma" w:hAnsi="Tahoma" w:cs="Tahoma"/>
          <w:b/>
          <w:bCs/>
          <w:sz w:val="22"/>
          <w:szCs w:val="22"/>
        </w:rPr>
        <w:t>sólo presentan operaciones de endeudamiento</w:t>
      </w:r>
      <w:r>
        <w:rPr>
          <w:rFonts w:ascii="Tahoma" w:hAnsi="Tahoma" w:cs="Tahoma"/>
          <w:sz w:val="22"/>
          <w:szCs w:val="22"/>
        </w:rPr>
        <w:t xml:space="preserve"> las siguientes:</w:t>
      </w:r>
    </w:p>
    <w:p w:rsidR="00B9049A" w:rsidRDefault="00B9049A" w:rsidP="006A091E">
      <w:pPr>
        <w:pStyle w:val="Textoindependiente3"/>
        <w:numPr>
          <w:ilvl w:val="0"/>
          <w:numId w:val="18"/>
        </w:numPr>
        <w:spacing w:line="360" w:lineRule="auto"/>
        <w:rPr>
          <w:rFonts w:ascii="Tahoma" w:hAnsi="Tahoma" w:cs="Tahoma"/>
        </w:rPr>
      </w:pPr>
      <w:r w:rsidRPr="00BC4158">
        <w:rPr>
          <w:rFonts w:ascii="Tahoma" w:hAnsi="Tahoma" w:cs="Tahoma"/>
          <w:u w:val="single"/>
        </w:rPr>
        <w:t>SPET-Turismo de Tenerife</w:t>
      </w:r>
      <w:r w:rsidRPr="00A34C9E">
        <w:rPr>
          <w:rFonts w:ascii="Tahoma" w:hAnsi="Tahoma" w:cs="Tahoma"/>
        </w:rPr>
        <w:t>:</w:t>
      </w:r>
      <w:r>
        <w:rPr>
          <w:rFonts w:ascii="Tahoma" w:hAnsi="Tahoma" w:cs="Tahoma"/>
        </w:rPr>
        <w:t xml:space="preserve"> operación de préstamo a largo plazo con destino a la financiación de las obras de ampliación de sus oficinas y riesgo vivo en t</w:t>
      </w:r>
      <w:r w:rsidRPr="00E31676">
        <w:rPr>
          <w:rFonts w:ascii="Tahoma" w:hAnsi="Tahoma" w:cs="Tahoma"/>
        </w:rPr>
        <w:t>arjetas de crédito.</w:t>
      </w:r>
    </w:p>
    <w:p w:rsidR="00B9049A" w:rsidRPr="00C62111" w:rsidRDefault="00B9049A" w:rsidP="00C62111">
      <w:pPr>
        <w:pStyle w:val="Textoindependiente3"/>
        <w:numPr>
          <w:ilvl w:val="0"/>
          <w:numId w:val="18"/>
        </w:numPr>
        <w:spacing w:line="360" w:lineRule="auto"/>
        <w:rPr>
          <w:rFonts w:ascii="Tahoma" w:hAnsi="Tahoma" w:cs="Tahoma"/>
        </w:rPr>
      </w:pPr>
      <w:r>
        <w:rPr>
          <w:u w:val="single"/>
        </w:rPr>
        <w:t xml:space="preserve">Instituto Insular de Atención Social y </w:t>
      </w:r>
      <w:proofErr w:type="spellStart"/>
      <w:r>
        <w:rPr>
          <w:u w:val="single"/>
        </w:rPr>
        <w:t>Sociosanitaria</w:t>
      </w:r>
      <w:proofErr w:type="spellEnd"/>
      <w:r w:rsidRPr="00E31676">
        <w:t>:</w:t>
      </w:r>
      <w:r>
        <w:t xml:space="preserve"> contratos de concesión de obra pública formalizados por el organismo autónomo para la construcción y explotación de diversos centros </w:t>
      </w:r>
      <w:proofErr w:type="spellStart"/>
      <w:r>
        <w:t>sociosanitarios</w:t>
      </w:r>
      <w:proofErr w:type="spellEnd"/>
      <w:r>
        <w:t>.</w:t>
      </w:r>
    </w:p>
    <w:p w:rsidR="00B9049A" w:rsidRDefault="00B9049A" w:rsidP="00C62111">
      <w:pPr>
        <w:pStyle w:val="Textoindependiente3"/>
        <w:spacing w:line="360" w:lineRule="auto"/>
      </w:pPr>
    </w:p>
    <w:p w:rsidR="00B9049A" w:rsidRDefault="00B9049A" w:rsidP="00923B7B">
      <w:pPr>
        <w:pStyle w:val="Textoindependiente3"/>
        <w:spacing w:line="360" w:lineRule="auto"/>
      </w:pPr>
      <w:r>
        <w:t>La EPEL AGROTEIDE, fue clasificada en 2017 por la IGAE dentro del sector de Administraciones Públicas, con lo que su deuda consolidaría con la del Cabildo. Sin embargo, está en trámite la cancelación total de la misma, por lo que al cierre del ejercicio 2017 la previsión es que la entidad no tenga operaciones de préstamo en vigor.</w:t>
      </w:r>
    </w:p>
    <w:p w:rsidR="00B9049A" w:rsidRDefault="00B9049A" w:rsidP="003C1363">
      <w:pPr>
        <w:jc w:val="both"/>
        <w:rPr>
          <w:rFonts w:ascii="Tahoma" w:hAnsi="Tahoma" w:cs="Tahoma"/>
          <w:sz w:val="22"/>
          <w:szCs w:val="22"/>
        </w:rPr>
      </w:pPr>
    </w:p>
    <w:p w:rsidR="00B9049A" w:rsidRDefault="00B9049A" w:rsidP="00923B7B">
      <w:pPr>
        <w:spacing w:line="360" w:lineRule="auto"/>
        <w:jc w:val="both"/>
        <w:rPr>
          <w:rFonts w:ascii="Tahoma" w:hAnsi="Tahoma" w:cs="Tahoma"/>
          <w:sz w:val="22"/>
          <w:szCs w:val="22"/>
        </w:rPr>
      </w:pPr>
      <w:r>
        <w:rPr>
          <w:rFonts w:ascii="Tahoma" w:hAnsi="Tahoma" w:cs="Tahoma"/>
          <w:sz w:val="22"/>
          <w:szCs w:val="22"/>
        </w:rPr>
        <w:t xml:space="preserve">Asimismo, el Consejo de Gobierno en relación con el proceso de liquidación de la sociedad mercantil Buenavista Golf, SA., clasificada como entidad de mercado y en la que participa el Cabildo en un 55%, adoptó entre otros, el acuerdo de aceptación de la propuesta de reparto de bienes que se le atribuyen a esta Corporación, así como la deuda con entidades financieras. </w:t>
      </w:r>
    </w:p>
    <w:p w:rsidR="00B9049A" w:rsidRDefault="00B9049A" w:rsidP="00797295">
      <w:pPr>
        <w:pStyle w:val="Textoindependiente3"/>
        <w:spacing w:line="360" w:lineRule="auto"/>
      </w:pPr>
      <w:r>
        <w:rPr>
          <w:rFonts w:ascii="Tahoma" w:hAnsi="Tahoma" w:cs="Tahoma"/>
        </w:rPr>
        <w:t xml:space="preserve">De igual forma, el Consejo de Gobierno acordó cancelar dicha deuda, </w:t>
      </w:r>
      <w:r>
        <w:t>por lo que al cierre del ejercicio 2017 estarían liquidadas las operaciones de préstamo en vigor.</w:t>
      </w:r>
    </w:p>
    <w:p w:rsidR="00B9049A" w:rsidRDefault="00B9049A" w:rsidP="00F665C3">
      <w:pPr>
        <w:spacing w:line="360" w:lineRule="auto"/>
        <w:jc w:val="both"/>
        <w:rPr>
          <w:rFonts w:ascii="Tahoma" w:hAnsi="Tahoma" w:cs="Tahoma"/>
          <w:sz w:val="22"/>
          <w:szCs w:val="22"/>
        </w:rPr>
      </w:pPr>
    </w:p>
    <w:p w:rsidR="00B9049A" w:rsidRDefault="00B9049A" w:rsidP="00F665C3">
      <w:pPr>
        <w:spacing w:line="360" w:lineRule="auto"/>
        <w:jc w:val="both"/>
        <w:rPr>
          <w:rFonts w:ascii="Tahoma" w:hAnsi="Tahoma" w:cs="Tahoma"/>
          <w:sz w:val="22"/>
          <w:szCs w:val="22"/>
        </w:rPr>
      </w:pPr>
      <w:r>
        <w:rPr>
          <w:rFonts w:ascii="Tahoma" w:hAnsi="Tahoma" w:cs="Tahoma"/>
          <w:sz w:val="22"/>
          <w:szCs w:val="22"/>
        </w:rPr>
        <w:t>En el siguiente cuadro se resumen las estimaciones realizadas de la deuda viva para el período 2017 - 2018:</w:t>
      </w:r>
    </w:p>
    <w:p w:rsidR="00B9049A" w:rsidRDefault="00B9049A" w:rsidP="003C1363">
      <w:pPr>
        <w:jc w:val="both"/>
        <w:rPr>
          <w:rFonts w:ascii="Tahoma" w:hAnsi="Tahoma" w:cs="Tahoma"/>
          <w:sz w:val="22"/>
          <w:szCs w:val="22"/>
        </w:rPr>
      </w:pPr>
    </w:p>
    <w:p w:rsidR="00B9049A" w:rsidRPr="005D7470" w:rsidRDefault="0026194C" w:rsidP="009F0AA6">
      <w:pPr>
        <w:spacing w:line="360" w:lineRule="auto"/>
        <w:jc w:val="center"/>
      </w:pPr>
      <w:r>
        <w:rPr>
          <w:noProof/>
        </w:rPr>
        <w:drawing>
          <wp:inline distT="0" distB="0" distL="0" distR="0">
            <wp:extent cx="5956300" cy="16891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956300" cy="1689100"/>
                    </a:xfrm>
                    <a:prstGeom prst="rect">
                      <a:avLst/>
                    </a:prstGeom>
                    <a:noFill/>
                    <a:ln w="9525">
                      <a:noFill/>
                      <a:miter lim="800000"/>
                      <a:headEnd/>
                      <a:tailEnd/>
                    </a:ln>
                  </pic:spPr>
                </pic:pic>
              </a:graphicData>
            </a:graphic>
          </wp:inline>
        </w:drawing>
      </w:r>
    </w:p>
    <w:p w:rsidR="00B9049A" w:rsidRDefault="00B9049A" w:rsidP="0020109E">
      <w:pPr>
        <w:spacing w:line="360" w:lineRule="auto"/>
        <w:jc w:val="both"/>
        <w:rPr>
          <w:rFonts w:ascii="Tahoma" w:hAnsi="Tahoma" w:cs="Tahoma"/>
          <w:color w:val="000000"/>
          <w:sz w:val="22"/>
          <w:szCs w:val="22"/>
        </w:rPr>
      </w:pPr>
    </w:p>
    <w:p w:rsidR="00B9049A" w:rsidRDefault="00B9049A" w:rsidP="00715E70">
      <w:pPr>
        <w:spacing w:line="360" w:lineRule="auto"/>
        <w:jc w:val="both"/>
        <w:rPr>
          <w:rFonts w:ascii="Tahoma" w:hAnsi="Tahoma" w:cs="Tahoma"/>
          <w:b/>
          <w:bCs/>
          <w:color w:val="000000"/>
          <w:sz w:val="22"/>
          <w:szCs w:val="22"/>
        </w:rPr>
      </w:pPr>
      <w:r w:rsidRPr="00F37524">
        <w:rPr>
          <w:rFonts w:ascii="Tahoma" w:hAnsi="Tahoma" w:cs="Tahoma"/>
          <w:color w:val="000000"/>
          <w:sz w:val="22"/>
          <w:szCs w:val="22"/>
        </w:rPr>
        <w:t xml:space="preserve">Por lo que respecta al </w:t>
      </w:r>
      <w:r w:rsidRPr="00F37524">
        <w:rPr>
          <w:rFonts w:ascii="Tahoma" w:hAnsi="Tahoma" w:cs="Tahoma"/>
          <w:b/>
          <w:bCs/>
          <w:color w:val="000000"/>
          <w:sz w:val="22"/>
          <w:szCs w:val="22"/>
        </w:rPr>
        <w:t>Cabildo</w:t>
      </w:r>
      <w:r w:rsidRPr="00F37524">
        <w:rPr>
          <w:rFonts w:ascii="Tahoma" w:hAnsi="Tahoma" w:cs="Tahoma"/>
          <w:color w:val="000000"/>
          <w:sz w:val="22"/>
          <w:szCs w:val="22"/>
        </w:rPr>
        <w:t xml:space="preserve"> (solo ente matriz), la </w:t>
      </w:r>
      <w:r w:rsidRPr="00F37524">
        <w:rPr>
          <w:rFonts w:ascii="Tahoma" w:hAnsi="Tahoma" w:cs="Tahoma"/>
          <w:b/>
          <w:bCs/>
          <w:color w:val="000000"/>
          <w:sz w:val="22"/>
          <w:szCs w:val="22"/>
        </w:rPr>
        <w:t xml:space="preserve">deuda viva </w:t>
      </w:r>
      <w:r w:rsidRPr="00F37524">
        <w:rPr>
          <w:rFonts w:ascii="Tahoma" w:hAnsi="Tahoma" w:cs="Tahoma"/>
          <w:color w:val="000000"/>
          <w:sz w:val="22"/>
          <w:szCs w:val="22"/>
        </w:rPr>
        <w:t xml:space="preserve">a 31 de diciembre de </w:t>
      </w:r>
      <w:r w:rsidRPr="00F37524">
        <w:rPr>
          <w:rFonts w:ascii="Tahoma" w:hAnsi="Tahoma" w:cs="Tahoma"/>
          <w:b/>
          <w:bCs/>
          <w:color w:val="000000"/>
          <w:sz w:val="22"/>
          <w:szCs w:val="22"/>
        </w:rPr>
        <w:t>201</w:t>
      </w:r>
      <w:r>
        <w:rPr>
          <w:rFonts w:ascii="Tahoma" w:hAnsi="Tahoma" w:cs="Tahoma"/>
          <w:b/>
          <w:bCs/>
          <w:color w:val="000000"/>
          <w:sz w:val="22"/>
          <w:szCs w:val="22"/>
        </w:rPr>
        <w:t>8</w:t>
      </w:r>
      <w:r w:rsidRPr="00F37524">
        <w:rPr>
          <w:rFonts w:ascii="Tahoma" w:hAnsi="Tahoma" w:cs="Tahoma"/>
          <w:b/>
          <w:bCs/>
          <w:color w:val="000000"/>
          <w:sz w:val="22"/>
          <w:szCs w:val="22"/>
        </w:rPr>
        <w:t xml:space="preserve"> se </w:t>
      </w:r>
      <w:r>
        <w:rPr>
          <w:rFonts w:ascii="Tahoma" w:hAnsi="Tahoma" w:cs="Tahoma"/>
          <w:b/>
          <w:bCs/>
          <w:color w:val="000000"/>
          <w:sz w:val="22"/>
          <w:szCs w:val="22"/>
        </w:rPr>
        <w:t>reduce</w:t>
      </w:r>
      <w:r w:rsidRPr="00F37524">
        <w:rPr>
          <w:rFonts w:ascii="Tahoma" w:hAnsi="Tahoma" w:cs="Tahoma"/>
          <w:b/>
          <w:bCs/>
          <w:color w:val="000000"/>
          <w:sz w:val="22"/>
          <w:szCs w:val="22"/>
        </w:rPr>
        <w:t xml:space="preserve"> respecto a la prevista a la misma fecha de 201</w:t>
      </w:r>
      <w:r>
        <w:rPr>
          <w:rFonts w:ascii="Tahoma" w:hAnsi="Tahoma" w:cs="Tahoma"/>
          <w:b/>
          <w:bCs/>
          <w:color w:val="000000"/>
          <w:sz w:val="22"/>
          <w:szCs w:val="22"/>
        </w:rPr>
        <w:t>7 en 22,1 millones de euros, mientras que</w:t>
      </w:r>
      <w:r w:rsidRPr="00F37524">
        <w:rPr>
          <w:rFonts w:ascii="Tahoma" w:hAnsi="Tahoma" w:cs="Tahoma"/>
          <w:color w:val="000000"/>
          <w:sz w:val="22"/>
          <w:szCs w:val="22"/>
        </w:rPr>
        <w:t xml:space="preserve">, </w:t>
      </w:r>
      <w:r>
        <w:rPr>
          <w:rFonts w:ascii="Tahoma" w:hAnsi="Tahoma" w:cs="Tahoma"/>
          <w:color w:val="000000"/>
          <w:sz w:val="22"/>
          <w:szCs w:val="22"/>
        </w:rPr>
        <w:t xml:space="preserve">el conjunto de </w:t>
      </w:r>
      <w:r w:rsidRPr="00F37524">
        <w:rPr>
          <w:rFonts w:ascii="Tahoma" w:hAnsi="Tahoma" w:cs="Tahoma"/>
          <w:color w:val="000000"/>
          <w:sz w:val="22"/>
          <w:szCs w:val="22"/>
        </w:rPr>
        <w:t xml:space="preserve">los </w:t>
      </w:r>
      <w:r w:rsidRPr="008965AA">
        <w:rPr>
          <w:rFonts w:ascii="Tahoma" w:hAnsi="Tahoma" w:cs="Tahoma"/>
          <w:b/>
          <w:bCs/>
          <w:color w:val="000000"/>
          <w:sz w:val="22"/>
          <w:szCs w:val="22"/>
        </w:rPr>
        <w:t>Organismos, Sociedades y Entes</w:t>
      </w:r>
      <w:r w:rsidRPr="008965AA">
        <w:rPr>
          <w:rFonts w:ascii="Tahoma" w:hAnsi="Tahoma" w:cs="Tahoma"/>
          <w:color w:val="000000"/>
          <w:sz w:val="22"/>
          <w:szCs w:val="22"/>
        </w:rPr>
        <w:t xml:space="preserve"> que forman parte del Sector Administraciones Públicas de esta Corporación entendido en los términos previstos en el SEC 2010 y en el TRLRHL, </w:t>
      </w:r>
      <w:r w:rsidRPr="008965AA">
        <w:rPr>
          <w:rFonts w:ascii="Tahoma" w:hAnsi="Tahoma" w:cs="Tahoma"/>
          <w:b/>
          <w:bCs/>
          <w:color w:val="000000"/>
          <w:sz w:val="22"/>
          <w:szCs w:val="22"/>
        </w:rPr>
        <w:t>se estima que reduzcan su deuda</w:t>
      </w:r>
      <w:r w:rsidRPr="008965AA">
        <w:rPr>
          <w:rFonts w:ascii="Tahoma" w:hAnsi="Tahoma" w:cs="Tahoma"/>
          <w:color w:val="000000"/>
          <w:sz w:val="22"/>
          <w:szCs w:val="22"/>
        </w:rPr>
        <w:t xml:space="preserve"> a lo largo de 201</w:t>
      </w:r>
      <w:r>
        <w:rPr>
          <w:rFonts w:ascii="Tahoma" w:hAnsi="Tahoma" w:cs="Tahoma"/>
          <w:color w:val="000000"/>
          <w:sz w:val="22"/>
          <w:szCs w:val="22"/>
        </w:rPr>
        <w:t>8</w:t>
      </w:r>
      <w:r w:rsidRPr="008965AA">
        <w:rPr>
          <w:rFonts w:ascii="Tahoma" w:hAnsi="Tahoma" w:cs="Tahoma"/>
          <w:color w:val="000000"/>
          <w:sz w:val="22"/>
          <w:szCs w:val="22"/>
        </w:rPr>
        <w:t xml:space="preserve"> en </w:t>
      </w:r>
      <w:r w:rsidRPr="008965AA">
        <w:rPr>
          <w:rFonts w:ascii="Tahoma" w:hAnsi="Tahoma" w:cs="Tahoma"/>
          <w:b/>
          <w:color w:val="000000"/>
          <w:sz w:val="22"/>
          <w:szCs w:val="22"/>
        </w:rPr>
        <w:t>1,9</w:t>
      </w:r>
      <w:r w:rsidRPr="008965AA">
        <w:rPr>
          <w:rFonts w:ascii="Tahoma" w:hAnsi="Tahoma" w:cs="Tahoma"/>
          <w:b/>
          <w:bCs/>
          <w:color w:val="000000"/>
          <w:sz w:val="22"/>
          <w:szCs w:val="22"/>
        </w:rPr>
        <w:t xml:space="preserve"> M €.</w:t>
      </w:r>
    </w:p>
    <w:p w:rsidR="00B9049A" w:rsidRDefault="00B9049A" w:rsidP="00715E70">
      <w:pPr>
        <w:spacing w:line="360" w:lineRule="auto"/>
        <w:jc w:val="both"/>
        <w:rPr>
          <w:rFonts w:ascii="Tahoma" w:hAnsi="Tahoma" w:cs="Tahoma"/>
          <w:b/>
          <w:bCs/>
          <w:color w:val="000000"/>
          <w:sz w:val="22"/>
          <w:szCs w:val="22"/>
        </w:rPr>
      </w:pPr>
    </w:p>
    <w:p w:rsidR="00B9049A" w:rsidRDefault="00B9049A" w:rsidP="00715E70">
      <w:pPr>
        <w:spacing w:line="360" w:lineRule="auto"/>
        <w:jc w:val="both"/>
        <w:rPr>
          <w:rFonts w:ascii="Tahoma" w:hAnsi="Tahoma" w:cs="Tahoma"/>
          <w:color w:val="000000"/>
          <w:sz w:val="22"/>
          <w:szCs w:val="22"/>
        </w:rPr>
      </w:pPr>
      <w:r>
        <w:rPr>
          <w:rFonts w:ascii="Tahoma" w:hAnsi="Tahoma" w:cs="Tahoma"/>
          <w:color w:val="000000"/>
          <w:sz w:val="22"/>
          <w:szCs w:val="22"/>
        </w:rPr>
        <w:t xml:space="preserve">Por último, </w:t>
      </w:r>
      <w:r w:rsidRPr="00D91630">
        <w:rPr>
          <w:rFonts w:ascii="Tahoma" w:hAnsi="Tahoma" w:cs="Tahoma"/>
          <w:color w:val="000000"/>
          <w:sz w:val="22"/>
          <w:szCs w:val="22"/>
        </w:rPr>
        <w:t>el ratio de endeudamiento a 31 de diciembre de 201</w:t>
      </w:r>
      <w:r>
        <w:rPr>
          <w:rFonts w:ascii="Tahoma" w:hAnsi="Tahoma" w:cs="Tahoma"/>
          <w:color w:val="000000"/>
          <w:sz w:val="22"/>
          <w:szCs w:val="22"/>
        </w:rPr>
        <w:t>7</w:t>
      </w:r>
      <w:r w:rsidRPr="00D91630">
        <w:rPr>
          <w:rFonts w:ascii="Tahoma" w:hAnsi="Tahoma" w:cs="Tahoma"/>
          <w:color w:val="000000"/>
          <w:sz w:val="22"/>
          <w:szCs w:val="22"/>
        </w:rPr>
        <w:t xml:space="preserve"> se situaría </w:t>
      </w:r>
      <w:r w:rsidRPr="008965AA">
        <w:rPr>
          <w:rFonts w:ascii="Tahoma" w:hAnsi="Tahoma" w:cs="Tahoma"/>
          <w:color w:val="000000"/>
          <w:sz w:val="22"/>
          <w:szCs w:val="22"/>
        </w:rPr>
        <w:t xml:space="preserve">en torno al </w:t>
      </w:r>
      <w:r>
        <w:rPr>
          <w:rFonts w:ascii="Tahoma" w:hAnsi="Tahoma" w:cs="Tahoma"/>
          <w:color w:val="000000"/>
          <w:sz w:val="22"/>
          <w:szCs w:val="22"/>
        </w:rPr>
        <w:t>31</w:t>
      </w:r>
      <w:r w:rsidRPr="008965AA">
        <w:rPr>
          <w:rFonts w:ascii="Tahoma" w:hAnsi="Tahoma" w:cs="Tahoma"/>
          <w:color w:val="000000"/>
          <w:sz w:val="22"/>
          <w:szCs w:val="22"/>
        </w:rPr>
        <w:t>%</w:t>
      </w:r>
      <w:r>
        <w:rPr>
          <w:rFonts w:ascii="Tahoma" w:hAnsi="Tahoma" w:cs="Tahoma"/>
          <w:color w:val="000000"/>
          <w:sz w:val="22"/>
          <w:szCs w:val="22"/>
        </w:rPr>
        <w:t>, dato que resulta de:</w:t>
      </w:r>
    </w:p>
    <w:p w:rsidR="00B9049A" w:rsidRDefault="00B9049A" w:rsidP="00D81062">
      <w:pPr>
        <w:numPr>
          <w:ilvl w:val="0"/>
          <w:numId w:val="33"/>
        </w:numPr>
        <w:spacing w:line="360" w:lineRule="auto"/>
        <w:jc w:val="both"/>
        <w:rPr>
          <w:rFonts w:ascii="Tahoma" w:hAnsi="Tahoma" w:cs="Tahoma"/>
          <w:color w:val="000000"/>
          <w:sz w:val="22"/>
          <w:szCs w:val="22"/>
        </w:rPr>
      </w:pPr>
      <w:r>
        <w:rPr>
          <w:rFonts w:ascii="Tahoma" w:hAnsi="Tahoma" w:cs="Tahoma"/>
          <w:color w:val="000000"/>
          <w:sz w:val="22"/>
          <w:szCs w:val="22"/>
        </w:rPr>
        <w:t>la deuda consolidada a 31 de diciembre de 2017 por importe de 207,5 millones de euros.</w:t>
      </w:r>
    </w:p>
    <w:p w:rsidR="00B9049A" w:rsidRDefault="00B9049A" w:rsidP="00D81062">
      <w:pPr>
        <w:numPr>
          <w:ilvl w:val="0"/>
          <w:numId w:val="33"/>
        </w:numPr>
        <w:spacing w:line="360" w:lineRule="auto"/>
        <w:jc w:val="both"/>
        <w:rPr>
          <w:rFonts w:ascii="Tahoma" w:hAnsi="Tahoma" w:cs="Tahoma"/>
          <w:color w:val="000000"/>
          <w:sz w:val="22"/>
          <w:szCs w:val="22"/>
        </w:rPr>
      </w:pPr>
      <w:r>
        <w:rPr>
          <w:rFonts w:ascii="Tahoma" w:hAnsi="Tahoma" w:cs="Tahoma"/>
          <w:color w:val="000000"/>
          <w:sz w:val="22"/>
          <w:szCs w:val="22"/>
        </w:rPr>
        <w:t>la</w:t>
      </w:r>
      <w:r w:rsidRPr="00D91630">
        <w:rPr>
          <w:rFonts w:ascii="Tahoma" w:hAnsi="Tahoma" w:cs="Tahoma"/>
          <w:color w:val="000000"/>
          <w:sz w:val="22"/>
          <w:szCs w:val="22"/>
        </w:rPr>
        <w:t xml:space="preserve"> proyección de ingresos liquidados consolidados ajustados </w:t>
      </w:r>
      <w:r>
        <w:rPr>
          <w:rFonts w:ascii="Tahoma" w:hAnsi="Tahoma" w:cs="Tahoma"/>
          <w:color w:val="000000"/>
          <w:sz w:val="22"/>
          <w:szCs w:val="22"/>
        </w:rPr>
        <w:t>por importe d</w:t>
      </w:r>
      <w:r w:rsidRPr="00D91630">
        <w:rPr>
          <w:rFonts w:ascii="Tahoma" w:hAnsi="Tahoma" w:cs="Tahoma"/>
          <w:color w:val="000000"/>
          <w:sz w:val="22"/>
          <w:szCs w:val="22"/>
        </w:rPr>
        <w:t xml:space="preserve">e </w:t>
      </w:r>
      <w:r>
        <w:rPr>
          <w:rFonts w:ascii="Tahoma" w:hAnsi="Tahoma" w:cs="Tahoma"/>
          <w:color w:val="000000"/>
          <w:sz w:val="22"/>
          <w:szCs w:val="22"/>
        </w:rPr>
        <w:t>663,3</w:t>
      </w:r>
      <w:r w:rsidRPr="00D91630">
        <w:rPr>
          <w:rFonts w:ascii="Tahoma" w:hAnsi="Tahoma" w:cs="Tahoma"/>
          <w:color w:val="000000"/>
          <w:sz w:val="22"/>
          <w:szCs w:val="22"/>
        </w:rPr>
        <w:t xml:space="preserve"> millones de euros</w:t>
      </w:r>
      <w:r>
        <w:rPr>
          <w:rFonts w:ascii="Tahoma" w:hAnsi="Tahoma" w:cs="Tahoma"/>
          <w:color w:val="000000"/>
          <w:sz w:val="22"/>
          <w:szCs w:val="22"/>
        </w:rPr>
        <w:t>, que deriva de l</w:t>
      </w:r>
      <w:r w:rsidRPr="00D91630">
        <w:rPr>
          <w:rFonts w:ascii="Tahoma" w:hAnsi="Tahoma" w:cs="Tahoma"/>
          <w:color w:val="000000"/>
          <w:sz w:val="22"/>
          <w:szCs w:val="22"/>
        </w:rPr>
        <w:t>a previsión de liquidación del Presupuesto 201</w:t>
      </w:r>
      <w:r>
        <w:rPr>
          <w:rFonts w:ascii="Tahoma" w:hAnsi="Tahoma" w:cs="Tahoma"/>
          <w:color w:val="000000"/>
          <w:sz w:val="22"/>
          <w:szCs w:val="22"/>
        </w:rPr>
        <w:t>7</w:t>
      </w:r>
      <w:r w:rsidRPr="00D91630">
        <w:rPr>
          <w:rFonts w:ascii="Tahoma" w:hAnsi="Tahoma" w:cs="Tahoma"/>
          <w:color w:val="000000"/>
          <w:sz w:val="22"/>
          <w:szCs w:val="22"/>
        </w:rPr>
        <w:t xml:space="preserve"> </w:t>
      </w:r>
      <w:r w:rsidRPr="00D91630">
        <w:rPr>
          <w:rFonts w:ascii="Tahoma" w:hAnsi="Tahoma" w:cs="Tahoma"/>
          <w:color w:val="000000"/>
          <w:sz w:val="22"/>
          <w:szCs w:val="22"/>
        </w:rPr>
        <w:lastRenderedPageBreak/>
        <w:t>del Cabildo</w:t>
      </w:r>
      <w:r>
        <w:rPr>
          <w:rFonts w:ascii="Tahoma" w:hAnsi="Tahoma" w:cs="Tahoma"/>
          <w:color w:val="000000"/>
          <w:sz w:val="22"/>
          <w:szCs w:val="22"/>
        </w:rPr>
        <w:t>,</w:t>
      </w:r>
      <w:r w:rsidRPr="00D91630">
        <w:rPr>
          <w:rFonts w:ascii="Tahoma" w:hAnsi="Tahoma" w:cs="Tahoma"/>
          <w:color w:val="000000"/>
          <w:sz w:val="22"/>
          <w:szCs w:val="22"/>
        </w:rPr>
        <w:t xml:space="preserve"> que acompaña al Presupuesto 201</w:t>
      </w:r>
      <w:r>
        <w:rPr>
          <w:rFonts w:ascii="Tahoma" w:hAnsi="Tahoma" w:cs="Tahoma"/>
          <w:color w:val="000000"/>
          <w:sz w:val="22"/>
          <w:szCs w:val="22"/>
        </w:rPr>
        <w:t>8</w:t>
      </w:r>
      <w:r w:rsidRPr="00D91630">
        <w:rPr>
          <w:rFonts w:ascii="Tahoma" w:hAnsi="Tahoma" w:cs="Tahoma"/>
          <w:color w:val="000000"/>
          <w:sz w:val="22"/>
          <w:szCs w:val="22"/>
        </w:rPr>
        <w:t xml:space="preserve"> elaborada por </w:t>
      </w:r>
      <w:r>
        <w:rPr>
          <w:rFonts w:ascii="Tahoma" w:hAnsi="Tahoma" w:cs="Tahoma"/>
          <w:color w:val="000000"/>
          <w:sz w:val="22"/>
          <w:szCs w:val="22"/>
        </w:rPr>
        <w:t>la Dirección de la Oficina de Contabilidad, minorados en los ajustes previsibles contemplados legalmente y de la</w:t>
      </w:r>
      <w:r w:rsidRPr="00D91630">
        <w:rPr>
          <w:rFonts w:ascii="Tahoma" w:hAnsi="Tahoma" w:cs="Tahoma"/>
          <w:color w:val="000000"/>
          <w:sz w:val="22"/>
          <w:szCs w:val="22"/>
        </w:rPr>
        <w:t xml:space="preserve"> liquidación de los Organismos y demás entes de 201</w:t>
      </w:r>
      <w:r>
        <w:rPr>
          <w:rFonts w:ascii="Tahoma" w:hAnsi="Tahoma" w:cs="Tahoma"/>
          <w:color w:val="000000"/>
          <w:sz w:val="22"/>
          <w:szCs w:val="22"/>
        </w:rPr>
        <w:t>6</w:t>
      </w:r>
      <w:r w:rsidRPr="00D91630">
        <w:rPr>
          <w:rFonts w:ascii="Tahoma" w:hAnsi="Tahoma" w:cs="Tahoma"/>
          <w:color w:val="000000"/>
          <w:sz w:val="22"/>
          <w:szCs w:val="22"/>
        </w:rPr>
        <w:t>, que son l</w:t>
      </w:r>
      <w:r>
        <w:rPr>
          <w:rFonts w:ascii="Tahoma" w:hAnsi="Tahoma" w:cs="Tahoma"/>
          <w:color w:val="000000"/>
          <w:sz w:val="22"/>
          <w:szCs w:val="22"/>
        </w:rPr>
        <w:t>as cifras</w:t>
      </w:r>
      <w:r w:rsidRPr="00D91630">
        <w:rPr>
          <w:rFonts w:ascii="Tahoma" w:hAnsi="Tahoma" w:cs="Tahoma"/>
          <w:color w:val="000000"/>
          <w:sz w:val="22"/>
          <w:szCs w:val="22"/>
        </w:rPr>
        <w:t xml:space="preserve"> disponibles</w:t>
      </w:r>
      <w:r>
        <w:rPr>
          <w:rFonts w:ascii="Tahoma" w:hAnsi="Tahoma" w:cs="Tahoma"/>
          <w:color w:val="000000"/>
          <w:sz w:val="22"/>
          <w:szCs w:val="22"/>
        </w:rPr>
        <w:t>.</w:t>
      </w:r>
    </w:p>
    <w:p w:rsidR="00B9049A" w:rsidRDefault="00B9049A" w:rsidP="00D81062">
      <w:pPr>
        <w:spacing w:line="360" w:lineRule="auto"/>
        <w:jc w:val="both"/>
        <w:rPr>
          <w:rFonts w:ascii="Tahoma" w:hAnsi="Tahoma" w:cs="Tahoma"/>
          <w:color w:val="000000"/>
          <w:sz w:val="22"/>
          <w:szCs w:val="22"/>
        </w:rPr>
      </w:pPr>
    </w:p>
    <w:p w:rsidR="00B9049A" w:rsidRPr="00D91630" w:rsidRDefault="00B9049A" w:rsidP="00D81062">
      <w:pPr>
        <w:spacing w:line="360" w:lineRule="auto"/>
        <w:jc w:val="both"/>
        <w:rPr>
          <w:rFonts w:ascii="Tahoma" w:hAnsi="Tahoma" w:cs="Tahoma"/>
          <w:color w:val="000000"/>
          <w:sz w:val="22"/>
          <w:szCs w:val="22"/>
        </w:rPr>
      </w:pPr>
      <w:r>
        <w:rPr>
          <w:rFonts w:ascii="Tahoma" w:hAnsi="Tahoma" w:cs="Tahoma"/>
          <w:color w:val="000000"/>
          <w:sz w:val="22"/>
          <w:szCs w:val="22"/>
        </w:rPr>
        <w:t>Dicho porcentaje habría que ponerlo en relación con el establecido en</w:t>
      </w:r>
      <w:r w:rsidRPr="008965AA">
        <w:rPr>
          <w:rFonts w:ascii="Tahoma" w:hAnsi="Tahoma" w:cs="Tahoma"/>
          <w:color w:val="000000"/>
          <w:sz w:val="22"/>
          <w:szCs w:val="22"/>
        </w:rPr>
        <w:t xml:space="preserve"> el TRLRHL</w:t>
      </w:r>
      <w:r>
        <w:rPr>
          <w:rFonts w:ascii="Tahoma" w:hAnsi="Tahoma" w:cs="Tahoma"/>
          <w:color w:val="000000"/>
          <w:sz w:val="22"/>
          <w:szCs w:val="22"/>
        </w:rPr>
        <w:t>, que determina</w:t>
      </w:r>
      <w:r w:rsidRPr="008965AA">
        <w:rPr>
          <w:rFonts w:ascii="Tahoma" w:hAnsi="Tahoma" w:cs="Tahoma"/>
          <w:color w:val="000000"/>
          <w:sz w:val="22"/>
          <w:szCs w:val="22"/>
        </w:rPr>
        <w:t xml:space="preserve"> un lími</w:t>
      </w:r>
      <w:r w:rsidRPr="00D91630">
        <w:rPr>
          <w:rFonts w:ascii="Tahoma" w:hAnsi="Tahoma" w:cs="Tahoma"/>
          <w:color w:val="000000"/>
          <w:sz w:val="22"/>
          <w:szCs w:val="22"/>
        </w:rPr>
        <w:t xml:space="preserve">te máximo permitido </w:t>
      </w:r>
      <w:r>
        <w:rPr>
          <w:rFonts w:ascii="Tahoma" w:hAnsi="Tahoma" w:cs="Tahoma"/>
          <w:color w:val="000000"/>
          <w:sz w:val="22"/>
          <w:szCs w:val="22"/>
        </w:rPr>
        <w:t>para concertar operaciones de endeudamiento d</w:t>
      </w:r>
      <w:r w:rsidRPr="00D91630">
        <w:rPr>
          <w:rFonts w:ascii="Tahoma" w:hAnsi="Tahoma" w:cs="Tahoma"/>
          <w:color w:val="000000"/>
          <w:sz w:val="22"/>
          <w:szCs w:val="22"/>
        </w:rPr>
        <w:t>el 110 por 100</w:t>
      </w:r>
      <w:r>
        <w:rPr>
          <w:rFonts w:ascii="Tahoma" w:hAnsi="Tahoma" w:cs="Tahoma"/>
          <w:color w:val="000000"/>
          <w:sz w:val="22"/>
          <w:szCs w:val="22"/>
        </w:rPr>
        <w:t xml:space="preserve">, aunque a partir del 75 por 100 se necesitaría </w:t>
      </w:r>
      <w:r w:rsidRPr="00D91630">
        <w:rPr>
          <w:rFonts w:ascii="Tahoma" w:hAnsi="Tahoma" w:cs="Tahoma"/>
          <w:color w:val="000000"/>
          <w:sz w:val="22"/>
          <w:szCs w:val="22"/>
        </w:rPr>
        <w:t>autorización del Ministerio</w:t>
      </w:r>
      <w:r>
        <w:rPr>
          <w:rFonts w:ascii="Tahoma" w:hAnsi="Tahoma" w:cs="Tahoma"/>
          <w:color w:val="000000"/>
          <w:sz w:val="22"/>
          <w:szCs w:val="22"/>
        </w:rPr>
        <w:t>.</w:t>
      </w:r>
    </w:p>
    <w:p w:rsidR="00B9049A" w:rsidRPr="00304049" w:rsidRDefault="00B9049A" w:rsidP="006958F6">
      <w:pPr>
        <w:spacing w:line="360" w:lineRule="auto"/>
        <w:jc w:val="both"/>
        <w:rPr>
          <w:rFonts w:ascii="Tahoma" w:hAnsi="Tahoma" w:cs="Tahoma"/>
          <w:color w:val="FF0000"/>
          <w:sz w:val="22"/>
          <w:szCs w:val="22"/>
        </w:rPr>
      </w:pPr>
    </w:p>
    <w:p w:rsidR="00B9049A" w:rsidRDefault="00B9049A" w:rsidP="0014417D">
      <w:pPr>
        <w:spacing w:line="360" w:lineRule="auto"/>
        <w:jc w:val="both"/>
        <w:rPr>
          <w:rFonts w:ascii="Tahoma" w:hAnsi="Tahoma" w:cs="Tahoma"/>
          <w:b/>
          <w:bCs/>
          <w:sz w:val="22"/>
          <w:szCs w:val="22"/>
          <w:u w:val="single"/>
        </w:rPr>
      </w:pPr>
      <w:r w:rsidRPr="00EF39E2">
        <w:rPr>
          <w:rFonts w:ascii="Tahoma" w:hAnsi="Tahoma" w:cs="Tahoma"/>
          <w:b/>
          <w:bCs/>
          <w:sz w:val="22"/>
          <w:szCs w:val="22"/>
          <w:u w:val="single"/>
        </w:rPr>
        <w:t>4. Carga financiera presupuestada.</w:t>
      </w:r>
    </w:p>
    <w:p w:rsidR="00B9049A" w:rsidRPr="00EF39E2" w:rsidRDefault="00B9049A" w:rsidP="0014417D">
      <w:pPr>
        <w:pStyle w:val="Textoindependiente3"/>
        <w:spacing w:line="360" w:lineRule="auto"/>
        <w:rPr>
          <w:rFonts w:ascii="Tahoma" w:hAnsi="Tahoma" w:cs="Tahoma"/>
          <w:color w:val="000000"/>
        </w:rPr>
      </w:pPr>
      <w:r>
        <w:rPr>
          <w:rFonts w:ascii="Tahoma" w:hAnsi="Tahoma" w:cs="Tahoma"/>
          <w:color w:val="000000"/>
        </w:rPr>
        <w:t>L</w:t>
      </w:r>
      <w:r w:rsidRPr="00EF39E2">
        <w:rPr>
          <w:rFonts w:ascii="Tahoma" w:hAnsi="Tahoma" w:cs="Tahoma"/>
          <w:color w:val="000000"/>
        </w:rPr>
        <w:t xml:space="preserve">a consignación total del </w:t>
      </w:r>
      <w:r>
        <w:rPr>
          <w:rFonts w:ascii="Tahoma" w:hAnsi="Tahoma" w:cs="Tahoma"/>
          <w:b/>
          <w:bCs/>
          <w:color w:val="000000"/>
        </w:rPr>
        <w:t>Ca</w:t>
      </w:r>
      <w:r w:rsidRPr="00EF39E2">
        <w:rPr>
          <w:rFonts w:ascii="Tahoma" w:hAnsi="Tahoma" w:cs="Tahoma"/>
          <w:b/>
          <w:bCs/>
          <w:color w:val="000000"/>
        </w:rPr>
        <w:t>pítulo IX de gastos</w:t>
      </w:r>
      <w:r w:rsidRPr="00EF39E2">
        <w:rPr>
          <w:rFonts w:ascii="Tahoma" w:hAnsi="Tahoma" w:cs="Tahoma"/>
          <w:color w:val="000000"/>
        </w:rPr>
        <w:t xml:space="preserve"> del Presupuesto del Cabildo Insular para el año </w:t>
      </w:r>
      <w:r>
        <w:rPr>
          <w:rFonts w:ascii="Tahoma" w:hAnsi="Tahoma" w:cs="Tahoma"/>
          <w:color w:val="000000"/>
        </w:rPr>
        <w:t xml:space="preserve">2018 </w:t>
      </w:r>
      <w:r w:rsidRPr="00EF39E2">
        <w:rPr>
          <w:rFonts w:ascii="Tahoma" w:hAnsi="Tahoma" w:cs="Tahoma"/>
          <w:b/>
          <w:bCs/>
          <w:color w:val="000000"/>
        </w:rPr>
        <w:t xml:space="preserve">se sitúa en </w:t>
      </w:r>
      <w:r>
        <w:rPr>
          <w:rFonts w:ascii="Tahoma" w:hAnsi="Tahoma" w:cs="Tahoma"/>
          <w:b/>
          <w:bCs/>
          <w:color w:val="000000"/>
        </w:rPr>
        <w:t>22,1</w:t>
      </w:r>
      <w:r w:rsidRPr="00EF39E2">
        <w:rPr>
          <w:rFonts w:ascii="Tahoma" w:hAnsi="Tahoma" w:cs="Tahoma"/>
          <w:b/>
          <w:bCs/>
          <w:color w:val="000000"/>
        </w:rPr>
        <w:t xml:space="preserve"> M €,</w:t>
      </w:r>
      <w:r w:rsidRPr="00EF39E2">
        <w:rPr>
          <w:rFonts w:ascii="Tahoma" w:hAnsi="Tahoma" w:cs="Tahoma"/>
          <w:color w:val="000000"/>
        </w:rPr>
        <w:t xml:space="preserve"> que responde</w:t>
      </w:r>
      <w:r>
        <w:rPr>
          <w:rFonts w:ascii="Tahoma" w:hAnsi="Tahoma" w:cs="Tahoma"/>
          <w:color w:val="000000"/>
        </w:rPr>
        <w:t>n</w:t>
      </w:r>
      <w:r w:rsidRPr="00EF39E2">
        <w:rPr>
          <w:rFonts w:ascii="Tahoma" w:hAnsi="Tahoma" w:cs="Tahoma"/>
          <w:color w:val="000000"/>
        </w:rPr>
        <w:t xml:space="preserve"> </w:t>
      </w:r>
      <w:r>
        <w:rPr>
          <w:rFonts w:ascii="Tahoma" w:hAnsi="Tahoma" w:cs="Tahoma"/>
          <w:color w:val="000000"/>
        </w:rPr>
        <w:t>a las amortizaciones previstas de los préstamos vigentes al finalizar el ejercicio 2017.</w:t>
      </w:r>
    </w:p>
    <w:p w:rsidR="00B9049A" w:rsidRPr="00EF39E2" w:rsidRDefault="00B9049A" w:rsidP="0086107C">
      <w:pPr>
        <w:pStyle w:val="Textoindependiente3"/>
        <w:spacing w:line="360" w:lineRule="auto"/>
        <w:rPr>
          <w:rFonts w:ascii="Tahoma" w:hAnsi="Tahoma" w:cs="Tahoma"/>
        </w:rPr>
      </w:pPr>
    </w:p>
    <w:p w:rsidR="00B9049A" w:rsidRPr="000C4614" w:rsidRDefault="00B9049A" w:rsidP="00D4057C">
      <w:pPr>
        <w:pStyle w:val="Textoindependiente3"/>
        <w:spacing w:line="360" w:lineRule="auto"/>
        <w:rPr>
          <w:rFonts w:ascii="Tahoma" w:hAnsi="Tahoma" w:cs="Tahoma"/>
          <w:color w:val="000000"/>
        </w:rPr>
      </w:pPr>
      <w:r w:rsidRPr="000C4614">
        <w:rPr>
          <w:rFonts w:ascii="Tahoma" w:hAnsi="Tahoma" w:cs="Tahoma"/>
        </w:rPr>
        <w:t xml:space="preserve">Por otra parte, en el </w:t>
      </w:r>
      <w:r w:rsidRPr="000C4614">
        <w:rPr>
          <w:rFonts w:ascii="Tahoma" w:hAnsi="Tahoma" w:cs="Tahoma"/>
          <w:b/>
          <w:bCs/>
        </w:rPr>
        <w:t>Capítulo III de Gastos Financieros</w:t>
      </w:r>
      <w:r w:rsidRPr="000C4614">
        <w:rPr>
          <w:rFonts w:ascii="Tahoma" w:hAnsi="Tahoma" w:cs="Tahoma"/>
        </w:rPr>
        <w:t xml:space="preserve">, se consigna un importe de </w:t>
      </w:r>
      <w:r w:rsidRPr="00B9492A">
        <w:rPr>
          <w:rFonts w:ascii="Tahoma" w:hAnsi="Tahoma" w:cs="Tahoma"/>
          <w:bCs/>
        </w:rPr>
        <w:t>4,76 M €,</w:t>
      </w:r>
      <w:r w:rsidRPr="000C4614">
        <w:rPr>
          <w:rFonts w:ascii="Tahoma" w:hAnsi="Tahoma" w:cs="Tahoma"/>
          <w:b/>
          <w:bCs/>
        </w:rPr>
        <w:t xml:space="preserve"> </w:t>
      </w:r>
      <w:r w:rsidRPr="000C4614">
        <w:rPr>
          <w:rFonts w:ascii="Tahoma" w:hAnsi="Tahoma" w:cs="Tahoma"/>
        </w:rPr>
        <w:t>que</w:t>
      </w:r>
      <w:r w:rsidRPr="000C4614">
        <w:rPr>
          <w:rFonts w:ascii="Tahoma" w:hAnsi="Tahoma" w:cs="Tahoma"/>
          <w:color w:val="FF0000"/>
        </w:rPr>
        <w:t xml:space="preserve"> </w:t>
      </w:r>
      <w:r w:rsidRPr="000C4614">
        <w:rPr>
          <w:rFonts w:ascii="Tahoma" w:hAnsi="Tahoma" w:cs="Tahoma"/>
          <w:color w:val="000000"/>
        </w:rPr>
        <w:t xml:space="preserve">corresponden a intereses de operaciones de préstamos, </w:t>
      </w:r>
      <w:r>
        <w:rPr>
          <w:rFonts w:ascii="Tahoma" w:hAnsi="Tahoma" w:cs="Tahoma"/>
          <w:color w:val="000000"/>
        </w:rPr>
        <w:t xml:space="preserve">coberturas de </w:t>
      </w:r>
      <w:r w:rsidRPr="00EF1E92">
        <w:rPr>
          <w:rFonts w:ascii="Tahoma" w:hAnsi="Tahoma" w:cs="Tahoma"/>
          <w:color w:val="000000"/>
        </w:rPr>
        <w:t>tipos</w:t>
      </w:r>
      <w:r w:rsidRPr="000C4614">
        <w:rPr>
          <w:rFonts w:ascii="Tahoma" w:hAnsi="Tahoma" w:cs="Tahoma"/>
          <w:color w:val="000000"/>
        </w:rPr>
        <w:t xml:space="preserve"> y a diversos gastos derivados de la gestión financiera de la Corporación. A dicho importe </w:t>
      </w:r>
      <w:r w:rsidRPr="000C4614">
        <w:rPr>
          <w:rFonts w:ascii="Tahoma" w:hAnsi="Tahoma" w:cs="Tahoma"/>
        </w:rPr>
        <w:t xml:space="preserve">se le añaden intereses de demora, hasta alcanzar </w:t>
      </w:r>
      <w:r w:rsidRPr="00EF07C7">
        <w:rPr>
          <w:rFonts w:ascii="Tahoma" w:hAnsi="Tahoma" w:cs="Tahoma"/>
          <w:color w:val="000000"/>
        </w:rPr>
        <w:t xml:space="preserve">los </w:t>
      </w:r>
      <w:r w:rsidRPr="009F5DB7">
        <w:rPr>
          <w:rFonts w:ascii="Tahoma" w:hAnsi="Tahoma" w:cs="Tahoma"/>
          <w:b/>
          <w:color w:val="000000"/>
        </w:rPr>
        <w:t>4</w:t>
      </w:r>
      <w:r w:rsidRPr="00EF07C7">
        <w:rPr>
          <w:rFonts w:ascii="Tahoma" w:hAnsi="Tahoma" w:cs="Tahoma"/>
          <w:b/>
          <w:bCs/>
          <w:color w:val="000000"/>
        </w:rPr>
        <w:t>,</w:t>
      </w:r>
      <w:r>
        <w:rPr>
          <w:rFonts w:ascii="Tahoma" w:hAnsi="Tahoma" w:cs="Tahoma"/>
          <w:b/>
          <w:bCs/>
          <w:color w:val="000000"/>
        </w:rPr>
        <w:t>8</w:t>
      </w:r>
      <w:r w:rsidRPr="00EF07C7">
        <w:rPr>
          <w:rFonts w:ascii="Tahoma" w:hAnsi="Tahoma" w:cs="Tahoma"/>
          <w:b/>
          <w:bCs/>
          <w:color w:val="000000"/>
        </w:rPr>
        <w:t xml:space="preserve"> millones de euros incluidos</w:t>
      </w:r>
      <w:r w:rsidRPr="000C4614">
        <w:rPr>
          <w:rFonts w:ascii="Tahoma" w:hAnsi="Tahoma" w:cs="Tahoma"/>
          <w:b/>
          <w:bCs/>
        </w:rPr>
        <w:t xml:space="preserve"> en el Presupuesto</w:t>
      </w:r>
      <w:r w:rsidRPr="000C4614">
        <w:rPr>
          <w:rFonts w:ascii="Tahoma" w:hAnsi="Tahoma" w:cs="Tahoma"/>
        </w:rPr>
        <w:t>.</w:t>
      </w:r>
    </w:p>
    <w:p w:rsidR="00B9049A" w:rsidRDefault="00B9049A" w:rsidP="004A7CE6">
      <w:pPr>
        <w:spacing w:line="360" w:lineRule="auto"/>
        <w:jc w:val="both"/>
        <w:rPr>
          <w:rFonts w:ascii="Tahoma" w:hAnsi="Tahoma" w:cs="Tahoma"/>
          <w:sz w:val="22"/>
          <w:szCs w:val="22"/>
        </w:rPr>
      </w:pPr>
    </w:p>
    <w:p w:rsidR="00B9049A" w:rsidRPr="00F65DEF" w:rsidRDefault="00B9049A" w:rsidP="004A7CE6">
      <w:pPr>
        <w:spacing w:line="360" w:lineRule="auto"/>
        <w:jc w:val="both"/>
        <w:rPr>
          <w:rFonts w:ascii="Tahoma" w:hAnsi="Tahoma" w:cs="Tahoma"/>
          <w:sz w:val="22"/>
          <w:szCs w:val="22"/>
        </w:rPr>
      </w:pPr>
      <w:r>
        <w:rPr>
          <w:rFonts w:ascii="Tahoma" w:hAnsi="Tahoma" w:cs="Tahoma"/>
          <w:sz w:val="22"/>
          <w:szCs w:val="22"/>
        </w:rPr>
        <w:t>E</w:t>
      </w:r>
      <w:r w:rsidRPr="004A7CE6">
        <w:rPr>
          <w:rFonts w:ascii="Tahoma" w:hAnsi="Tahoma" w:cs="Tahoma"/>
          <w:sz w:val="22"/>
          <w:szCs w:val="22"/>
        </w:rPr>
        <w:t>l</w:t>
      </w:r>
      <w:r>
        <w:rPr>
          <w:rFonts w:ascii="Tahoma" w:hAnsi="Tahoma" w:cs="Tahoma"/>
          <w:sz w:val="22"/>
          <w:szCs w:val="22"/>
        </w:rPr>
        <w:t xml:space="preserve"> cálculo de intereses</w:t>
      </w:r>
      <w:r w:rsidRPr="004A7CE6">
        <w:rPr>
          <w:rFonts w:ascii="Tahoma" w:hAnsi="Tahoma" w:cs="Tahoma"/>
          <w:sz w:val="22"/>
          <w:szCs w:val="22"/>
        </w:rPr>
        <w:t xml:space="preserve"> </w:t>
      </w:r>
      <w:r>
        <w:rPr>
          <w:rFonts w:ascii="Tahoma" w:hAnsi="Tahoma" w:cs="Tahoma"/>
          <w:sz w:val="22"/>
          <w:szCs w:val="22"/>
        </w:rPr>
        <w:t xml:space="preserve">de </w:t>
      </w:r>
      <w:r w:rsidRPr="004A7CE6">
        <w:rPr>
          <w:rFonts w:ascii="Tahoma" w:hAnsi="Tahoma" w:cs="Tahoma"/>
          <w:sz w:val="22"/>
          <w:szCs w:val="22"/>
        </w:rPr>
        <w:t xml:space="preserve">las operaciones </w:t>
      </w:r>
      <w:r>
        <w:rPr>
          <w:rFonts w:ascii="Tahoma" w:hAnsi="Tahoma" w:cs="Tahoma"/>
          <w:sz w:val="22"/>
          <w:szCs w:val="22"/>
        </w:rPr>
        <w:t xml:space="preserve">de préstamo se ha </w:t>
      </w:r>
      <w:r w:rsidRPr="004A7CE6">
        <w:rPr>
          <w:rFonts w:ascii="Tahoma" w:hAnsi="Tahoma" w:cs="Tahoma"/>
          <w:sz w:val="22"/>
          <w:szCs w:val="22"/>
        </w:rPr>
        <w:t xml:space="preserve">efectuado teniendo en cuenta las condiciones pactadas y en función de los tipos de interés ya conocidos </w:t>
      </w:r>
      <w:r>
        <w:rPr>
          <w:rFonts w:ascii="Tahoma" w:hAnsi="Tahoma" w:cs="Tahoma"/>
          <w:sz w:val="22"/>
          <w:szCs w:val="22"/>
        </w:rPr>
        <w:t xml:space="preserve">a la fecha de la elaboración del presente informe. Para las operaciones de endeudamiento que fijan el tipo en los meses de noviembre y diciembre, se ha tomado como referencia, con un criterio de prudencia, </w:t>
      </w:r>
      <w:r w:rsidRPr="00F65DEF">
        <w:rPr>
          <w:rFonts w:ascii="Tahoma" w:hAnsi="Tahoma" w:cs="Tahoma"/>
          <w:sz w:val="22"/>
          <w:szCs w:val="22"/>
        </w:rPr>
        <w:t xml:space="preserve">un </w:t>
      </w:r>
      <w:proofErr w:type="spellStart"/>
      <w:r w:rsidRPr="00F65DEF">
        <w:rPr>
          <w:rFonts w:ascii="Tahoma" w:hAnsi="Tahoma" w:cs="Tahoma"/>
          <w:sz w:val="22"/>
          <w:szCs w:val="22"/>
        </w:rPr>
        <w:t>euríbor</w:t>
      </w:r>
      <w:proofErr w:type="spellEnd"/>
      <w:r w:rsidRPr="00F65DEF">
        <w:rPr>
          <w:rFonts w:ascii="Tahoma" w:hAnsi="Tahoma" w:cs="Tahoma"/>
          <w:sz w:val="22"/>
          <w:szCs w:val="22"/>
        </w:rPr>
        <w:t xml:space="preserve"> de 0%, cifra por encima del </w:t>
      </w:r>
      <w:proofErr w:type="spellStart"/>
      <w:r w:rsidRPr="00F65DEF">
        <w:rPr>
          <w:rFonts w:ascii="Tahoma" w:hAnsi="Tahoma" w:cs="Tahoma"/>
          <w:sz w:val="22"/>
          <w:szCs w:val="22"/>
        </w:rPr>
        <w:t>euríbor</w:t>
      </w:r>
      <w:proofErr w:type="spellEnd"/>
      <w:r w:rsidRPr="00F65DEF">
        <w:rPr>
          <w:rFonts w:ascii="Tahoma" w:hAnsi="Tahoma" w:cs="Tahoma"/>
          <w:sz w:val="22"/>
          <w:szCs w:val="22"/>
        </w:rPr>
        <w:t xml:space="preserve"> </w:t>
      </w:r>
      <w:r>
        <w:rPr>
          <w:rFonts w:ascii="Tahoma" w:hAnsi="Tahoma" w:cs="Tahoma"/>
          <w:sz w:val="22"/>
          <w:szCs w:val="22"/>
        </w:rPr>
        <w:t xml:space="preserve">anual </w:t>
      </w:r>
      <w:r w:rsidRPr="00F65DEF">
        <w:rPr>
          <w:rFonts w:ascii="Tahoma" w:hAnsi="Tahoma" w:cs="Tahoma"/>
          <w:sz w:val="22"/>
          <w:szCs w:val="22"/>
        </w:rPr>
        <w:t>actual</w:t>
      </w:r>
      <w:r>
        <w:rPr>
          <w:rFonts w:ascii="Tahoma" w:hAnsi="Tahoma" w:cs="Tahoma"/>
          <w:sz w:val="22"/>
          <w:szCs w:val="22"/>
        </w:rPr>
        <w:t>, que es negativo,</w:t>
      </w:r>
      <w:r w:rsidRPr="00F65DEF">
        <w:rPr>
          <w:rFonts w:ascii="Tahoma" w:hAnsi="Tahoma" w:cs="Tahoma"/>
          <w:sz w:val="22"/>
          <w:szCs w:val="22"/>
        </w:rPr>
        <w:t xml:space="preserve"> para garantizar con ello el cumplimiento e</w:t>
      </w:r>
      <w:r>
        <w:rPr>
          <w:rFonts w:ascii="Tahoma" w:hAnsi="Tahoma" w:cs="Tahoma"/>
          <w:sz w:val="22"/>
          <w:szCs w:val="22"/>
        </w:rPr>
        <w:t>n el pago de la carga financiera</w:t>
      </w:r>
      <w:r w:rsidRPr="00F65DEF">
        <w:rPr>
          <w:rFonts w:ascii="Tahoma" w:hAnsi="Tahoma" w:cs="Tahoma"/>
          <w:sz w:val="22"/>
          <w:szCs w:val="22"/>
        </w:rPr>
        <w:t>.</w:t>
      </w:r>
    </w:p>
    <w:sectPr w:rsidR="00B9049A" w:rsidRPr="00F65DEF" w:rsidSect="00A25489">
      <w:headerReference w:type="default" r:id="rId20"/>
      <w:footerReference w:type="default" r:id="rId21"/>
      <w:pgSz w:w="11906" w:h="16838" w:code="9"/>
      <w:pgMar w:top="1134" w:right="1134" w:bottom="1134"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49A" w:rsidRDefault="00B9049A">
      <w:r>
        <w:separator/>
      </w:r>
    </w:p>
  </w:endnote>
  <w:endnote w:type="continuationSeparator" w:id="1">
    <w:p w:rsidR="00B9049A" w:rsidRDefault="00B904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9A" w:rsidRDefault="00B9049A">
    <w:pPr>
      <w:pStyle w:val="Piedepgina"/>
      <w:framePr w:w="721" w:wrap="auto" w:vAnchor="text" w:hAnchor="page" w:x="5761" w:y="83"/>
      <w:jc w:val="center"/>
      <w:rPr>
        <w:rStyle w:val="Nmerodepgina"/>
        <w:rFonts w:ascii="Tahoma" w:hAnsi="Tahoma" w:cs="Tahoma"/>
        <w:sz w:val="16"/>
        <w:szCs w:val="16"/>
      </w:rPr>
    </w:pPr>
    <w:r>
      <w:rPr>
        <w:rStyle w:val="Nmerodepgina"/>
        <w:rFonts w:ascii="Tahoma" w:hAnsi="Tahoma" w:cs="Tahoma"/>
        <w:sz w:val="16"/>
        <w:szCs w:val="16"/>
      </w:rPr>
      <w:t>IV.</w:t>
    </w:r>
    <w:r w:rsidR="0061555D">
      <w:rPr>
        <w:rStyle w:val="Nmerodepgina"/>
        <w:rFonts w:ascii="Tahoma" w:hAnsi="Tahoma" w:cs="Tahoma"/>
        <w:sz w:val="16"/>
        <w:szCs w:val="16"/>
      </w:rPr>
      <w:fldChar w:fldCharType="begin"/>
    </w:r>
    <w:r>
      <w:rPr>
        <w:rStyle w:val="Nmerodepgina"/>
        <w:rFonts w:ascii="Tahoma" w:hAnsi="Tahoma" w:cs="Tahoma"/>
        <w:sz w:val="16"/>
        <w:szCs w:val="16"/>
      </w:rPr>
      <w:instrText xml:space="preserve">PAGE  </w:instrText>
    </w:r>
    <w:r w:rsidR="0061555D">
      <w:rPr>
        <w:rStyle w:val="Nmerodepgina"/>
        <w:rFonts w:ascii="Tahoma" w:hAnsi="Tahoma" w:cs="Tahoma"/>
        <w:sz w:val="16"/>
        <w:szCs w:val="16"/>
      </w:rPr>
      <w:fldChar w:fldCharType="separate"/>
    </w:r>
    <w:r w:rsidR="00E82E58">
      <w:rPr>
        <w:rStyle w:val="Nmerodepgina"/>
        <w:rFonts w:ascii="Tahoma" w:hAnsi="Tahoma" w:cs="Tahoma"/>
        <w:noProof/>
        <w:sz w:val="16"/>
        <w:szCs w:val="16"/>
      </w:rPr>
      <w:t>28</w:t>
    </w:r>
    <w:r w:rsidR="0061555D">
      <w:rPr>
        <w:rStyle w:val="Nmerodepgina"/>
        <w:rFonts w:ascii="Tahoma" w:hAnsi="Tahoma" w:cs="Tahoma"/>
        <w:sz w:val="16"/>
        <w:szCs w:val="16"/>
      </w:rPr>
      <w:fldChar w:fldCharType="end"/>
    </w:r>
  </w:p>
  <w:p w:rsidR="00B9049A" w:rsidRDefault="00B9049A">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49A" w:rsidRDefault="00B9049A">
      <w:r>
        <w:separator/>
      </w:r>
    </w:p>
  </w:footnote>
  <w:footnote w:type="continuationSeparator" w:id="1">
    <w:p w:rsidR="00B9049A" w:rsidRDefault="00B90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9A" w:rsidRDefault="00B9049A">
    <w:pPr>
      <w:pStyle w:val="Encabezado"/>
      <w:tabs>
        <w:tab w:val="clear" w:pos="8504"/>
        <w:tab w:val="right" w:pos="9639"/>
      </w:tabs>
      <w:rPr>
        <w:rFonts w:ascii="Tahoma" w:hAnsi="Tahoma" w:cs="Tahoma"/>
        <w:b/>
        <w:bCs/>
        <w:i/>
        <w:iCs/>
        <w:color w:val="0000FF"/>
        <w:sz w:val="16"/>
        <w:szCs w:val="16"/>
      </w:rPr>
    </w:pPr>
    <w:r>
      <w:rPr>
        <w:rFonts w:ascii="Tahoma" w:hAnsi="Tahoma" w:cs="Tahoma"/>
        <w:b/>
        <w:bCs/>
        <w:i/>
        <w:iCs/>
        <w:color w:val="0000FF"/>
        <w:sz w:val="16"/>
        <w:szCs w:val="16"/>
      </w:rPr>
      <w:t>Excmo. Cabildo Insular de Tenerife</w:t>
    </w:r>
  </w:p>
  <w:p w:rsidR="00B9049A" w:rsidRDefault="00B9049A">
    <w:pPr>
      <w:pStyle w:val="Encabezado"/>
      <w:tabs>
        <w:tab w:val="clear" w:pos="8504"/>
        <w:tab w:val="right" w:pos="9639"/>
      </w:tabs>
      <w:rPr>
        <w:rFonts w:ascii="Tahoma" w:hAnsi="Tahoma" w:cs="Tahoma"/>
        <w:b/>
        <w:bCs/>
        <w:i/>
        <w:iCs/>
        <w:color w:val="0000FF"/>
        <w:sz w:val="16"/>
        <w:szCs w:val="16"/>
      </w:rPr>
    </w:pPr>
    <w:r>
      <w:rPr>
        <w:rFonts w:ascii="Tahoma" w:hAnsi="Tahoma" w:cs="Tahoma"/>
        <w:b/>
        <w:bCs/>
        <w:i/>
        <w:iCs/>
        <w:color w:val="0000FF"/>
        <w:sz w:val="16"/>
        <w:szCs w:val="16"/>
      </w:rPr>
      <w:t>Presupuesto 2018</w:t>
    </w:r>
  </w:p>
  <w:p w:rsidR="00B9049A" w:rsidRDefault="00B9049A">
    <w:pPr>
      <w:pStyle w:val="Encabezado"/>
      <w:tabs>
        <w:tab w:val="clear" w:pos="8504"/>
        <w:tab w:val="right" w:pos="9639"/>
      </w:tabs>
      <w:rPr>
        <w:rFonts w:ascii="Tahoma" w:hAnsi="Tahoma" w:cs="Tahoma"/>
        <w:i/>
        <w:iCs/>
        <w:color w:val="0000FF"/>
        <w:sz w:val="16"/>
        <w:szCs w:val="16"/>
      </w:rPr>
    </w:pPr>
    <w:r>
      <w:rPr>
        <w:rFonts w:ascii="Tahoma" w:hAnsi="Tahoma" w:cs="Tahoma"/>
        <w:b/>
        <w:bCs/>
        <w:i/>
        <w:iCs/>
        <w:color w:val="0000FF"/>
        <w:sz w:val="16"/>
        <w:szCs w:val="16"/>
      </w:rPr>
      <w:tab/>
    </w:r>
    <w:r>
      <w:rPr>
        <w:rFonts w:ascii="Tahoma" w:hAnsi="Tahoma" w:cs="Tahoma"/>
        <w:b/>
        <w:bCs/>
        <w:i/>
        <w:iCs/>
        <w:color w:val="0000FF"/>
        <w:sz w:val="16"/>
        <w:szCs w:val="16"/>
      </w:rPr>
      <w:tab/>
      <w:t>IV. Informe Financiero</w:t>
    </w:r>
  </w:p>
  <w:p w:rsidR="00B9049A" w:rsidRDefault="00B9049A">
    <w:pPr>
      <w:pStyle w:val="Encabezado"/>
      <w:pBdr>
        <w:top w:val="single" w:sz="4" w:space="1" w:color="auto"/>
      </w:pBdr>
      <w:tabs>
        <w:tab w:val="clear" w:pos="8504"/>
        <w:tab w:val="right" w:pos="9639"/>
      </w:tabs>
      <w:rPr>
        <w:rFonts w:ascii="Tahoma" w:hAnsi="Tahoma" w:cs="Tahoma"/>
        <w:i/>
        <w:iCs/>
        <w:sz w:val="16"/>
        <w:szCs w:val="16"/>
      </w:rPr>
    </w:pPr>
  </w:p>
  <w:p w:rsidR="00B9049A" w:rsidRDefault="00B9049A">
    <w:pPr>
      <w:pStyle w:val="Encabezado"/>
      <w:pBdr>
        <w:top w:val="single" w:sz="4" w:space="1" w:color="auto"/>
      </w:pBdr>
      <w:tabs>
        <w:tab w:val="clear" w:pos="8504"/>
        <w:tab w:val="right" w:pos="9639"/>
      </w:tabs>
      <w:rPr>
        <w:rFonts w:ascii="Tahoma" w:hAnsi="Tahoma" w:cs="Tahoma"/>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ED9"/>
    <w:multiLevelType w:val="multilevel"/>
    <w:tmpl w:val="6D388B3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E22F33"/>
    <w:multiLevelType w:val="hybridMultilevel"/>
    <w:tmpl w:val="D9BA5A46"/>
    <w:lvl w:ilvl="0" w:tplc="400A3306">
      <w:start w:val="1"/>
      <w:numFmt w:val="lowerLetter"/>
      <w:lvlText w:val="%1)"/>
      <w:lvlJc w:val="left"/>
      <w:pPr>
        <w:tabs>
          <w:tab w:val="num" w:pos="1789"/>
        </w:tabs>
        <w:ind w:left="1789" w:hanging="1080"/>
      </w:pPr>
      <w:rPr>
        <w:rFonts w:cs="Times New Roman" w:hint="default"/>
      </w:rPr>
    </w:lvl>
    <w:lvl w:ilvl="1" w:tplc="0C0A0019">
      <w:start w:val="1"/>
      <w:numFmt w:val="lowerLetter"/>
      <w:lvlText w:val="%2."/>
      <w:lvlJc w:val="left"/>
      <w:pPr>
        <w:tabs>
          <w:tab w:val="num" w:pos="1789"/>
        </w:tabs>
        <w:ind w:left="1789" w:hanging="360"/>
      </w:pPr>
      <w:rPr>
        <w:rFonts w:cs="Times New Roman"/>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2">
    <w:nsid w:val="0B3520BE"/>
    <w:multiLevelType w:val="multilevel"/>
    <w:tmpl w:val="CE10CDB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B114AF"/>
    <w:multiLevelType w:val="hybridMultilevel"/>
    <w:tmpl w:val="6D388B30"/>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0D47074C"/>
    <w:multiLevelType w:val="hybridMultilevel"/>
    <w:tmpl w:val="1DB870E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0DA057D7"/>
    <w:multiLevelType w:val="hybridMultilevel"/>
    <w:tmpl w:val="E6E47ACC"/>
    <w:lvl w:ilvl="0" w:tplc="74CAD5B0">
      <w:start w:val="1"/>
      <w:numFmt w:val="bullet"/>
      <w:lvlText w:val="o"/>
      <w:lvlJc w:val="left"/>
      <w:pPr>
        <w:tabs>
          <w:tab w:val="num" w:pos="1493"/>
        </w:tabs>
        <w:ind w:left="1493" w:hanging="360"/>
      </w:pPr>
      <w:rPr>
        <w:rFonts w:ascii="Courier New" w:hAnsi="Courier New" w:hint="default"/>
        <w:color w:val="000000"/>
      </w:rPr>
    </w:lvl>
    <w:lvl w:ilvl="1" w:tplc="0C0A0003">
      <w:start w:val="1"/>
      <w:numFmt w:val="bullet"/>
      <w:lvlText w:val="o"/>
      <w:lvlJc w:val="left"/>
      <w:pPr>
        <w:tabs>
          <w:tab w:val="num" w:pos="2213"/>
        </w:tabs>
        <w:ind w:left="2213" w:hanging="360"/>
      </w:pPr>
      <w:rPr>
        <w:rFonts w:ascii="Courier New" w:hAnsi="Courier New" w:hint="default"/>
      </w:rPr>
    </w:lvl>
    <w:lvl w:ilvl="2" w:tplc="0C0A0005">
      <w:start w:val="1"/>
      <w:numFmt w:val="bullet"/>
      <w:lvlText w:val=""/>
      <w:lvlJc w:val="left"/>
      <w:pPr>
        <w:tabs>
          <w:tab w:val="num" w:pos="2933"/>
        </w:tabs>
        <w:ind w:left="2933" w:hanging="360"/>
      </w:pPr>
      <w:rPr>
        <w:rFonts w:ascii="Wingdings" w:hAnsi="Wingdings" w:hint="default"/>
      </w:rPr>
    </w:lvl>
    <w:lvl w:ilvl="3" w:tplc="0C0A0001">
      <w:start w:val="1"/>
      <w:numFmt w:val="bullet"/>
      <w:lvlText w:val=""/>
      <w:lvlJc w:val="left"/>
      <w:pPr>
        <w:tabs>
          <w:tab w:val="num" w:pos="3653"/>
        </w:tabs>
        <w:ind w:left="3653" w:hanging="360"/>
      </w:pPr>
      <w:rPr>
        <w:rFonts w:ascii="Symbol" w:hAnsi="Symbol" w:hint="default"/>
      </w:rPr>
    </w:lvl>
    <w:lvl w:ilvl="4" w:tplc="0C0A0003">
      <w:start w:val="1"/>
      <w:numFmt w:val="bullet"/>
      <w:lvlText w:val="o"/>
      <w:lvlJc w:val="left"/>
      <w:pPr>
        <w:tabs>
          <w:tab w:val="num" w:pos="4373"/>
        </w:tabs>
        <w:ind w:left="4373" w:hanging="360"/>
      </w:pPr>
      <w:rPr>
        <w:rFonts w:ascii="Courier New" w:hAnsi="Courier New" w:hint="default"/>
      </w:rPr>
    </w:lvl>
    <w:lvl w:ilvl="5" w:tplc="0C0A0005">
      <w:start w:val="1"/>
      <w:numFmt w:val="bullet"/>
      <w:lvlText w:val=""/>
      <w:lvlJc w:val="left"/>
      <w:pPr>
        <w:tabs>
          <w:tab w:val="num" w:pos="5093"/>
        </w:tabs>
        <w:ind w:left="5093" w:hanging="360"/>
      </w:pPr>
      <w:rPr>
        <w:rFonts w:ascii="Wingdings" w:hAnsi="Wingdings" w:hint="default"/>
      </w:rPr>
    </w:lvl>
    <w:lvl w:ilvl="6" w:tplc="0C0A0001">
      <w:start w:val="1"/>
      <w:numFmt w:val="bullet"/>
      <w:lvlText w:val=""/>
      <w:lvlJc w:val="left"/>
      <w:pPr>
        <w:tabs>
          <w:tab w:val="num" w:pos="5813"/>
        </w:tabs>
        <w:ind w:left="5813" w:hanging="360"/>
      </w:pPr>
      <w:rPr>
        <w:rFonts w:ascii="Symbol" w:hAnsi="Symbol" w:hint="default"/>
      </w:rPr>
    </w:lvl>
    <w:lvl w:ilvl="7" w:tplc="0C0A0003">
      <w:start w:val="1"/>
      <w:numFmt w:val="bullet"/>
      <w:lvlText w:val="o"/>
      <w:lvlJc w:val="left"/>
      <w:pPr>
        <w:tabs>
          <w:tab w:val="num" w:pos="6533"/>
        </w:tabs>
        <w:ind w:left="6533" w:hanging="360"/>
      </w:pPr>
      <w:rPr>
        <w:rFonts w:ascii="Courier New" w:hAnsi="Courier New" w:hint="default"/>
      </w:rPr>
    </w:lvl>
    <w:lvl w:ilvl="8" w:tplc="0C0A0005">
      <w:start w:val="1"/>
      <w:numFmt w:val="bullet"/>
      <w:lvlText w:val=""/>
      <w:lvlJc w:val="left"/>
      <w:pPr>
        <w:tabs>
          <w:tab w:val="num" w:pos="7253"/>
        </w:tabs>
        <w:ind w:left="7253" w:hanging="360"/>
      </w:pPr>
      <w:rPr>
        <w:rFonts w:ascii="Wingdings" w:hAnsi="Wingdings" w:hint="default"/>
      </w:rPr>
    </w:lvl>
  </w:abstractNum>
  <w:abstractNum w:abstractNumId="6">
    <w:nsid w:val="0E574F53"/>
    <w:multiLevelType w:val="multilevel"/>
    <w:tmpl w:val="79484C4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28"/>
        </w:tabs>
        <w:ind w:left="928"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E643539"/>
    <w:multiLevelType w:val="hybridMultilevel"/>
    <w:tmpl w:val="18EC9800"/>
    <w:lvl w:ilvl="0" w:tplc="0C0A0003">
      <w:start w:val="1"/>
      <w:numFmt w:val="bullet"/>
      <w:lvlText w:val="o"/>
      <w:lvlJc w:val="left"/>
      <w:pPr>
        <w:tabs>
          <w:tab w:val="num" w:pos="1429"/>
        </w:tabs>
        <w:ind w:left="1429" w:hanging="360"/>
      </w:pPr>
      <w:rPr>
        <w:rFonts w:ascii="Courier New" w:hAnsi="Courier New"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start w:val="1"/>
      <w:numFmt w:val="bullet"/>
      <w:lvlText w:val=""/>
      <w:lvlJc w:val="left"/>
      <w:pPr>
        <w:tabs>
          <w:tab w:val="num" w:pos="2869"/>
        </w:tabs>
        <w:ind w:left="2869" w:hanging="360"/>
      </w:pPr>
      <w:rPr>
        <w:rFonts w:ascii="Wingdings" w:hAnsi="Wingdings" w:hint="default"/>
      </w:rPr>
    </w:lvl>
    <w:lvl w:ilvl="3" w:tplc="0C0A0001">
      <w:start w:val="1"/>
      <w:numFmt w:val="bullet"/>
      <w:lvlText w:val=""/>
      <w:lvlJc w:val="left"/>
      <w:pPr>
        <w:tabs>
          <w:tab w:val="num" w:pos="3589"/>
        </w:tabs>
        <w:ind w:left="3589" w:hanging="360"/>
      </w:pPr>
      <w:rPr>
        <w:rFonts w:ascii="Symbol" w:hAnsi="Symbol" w:hint="default"/>
      </w:rPr>
    </w:lvl>
    <w:lvl w:ilvl="4" w:tplc="0C0A0003">
      <w:start w:val="1"/>
      <w:numFmt w:val="bullet"/>
      <w:lvlText w:val="o"/>
      <w:lvlJc w:val="left"/>
      <w:pPr>
        <w:tabs>
          <w:tab w:val="num" w:pos="4309"/>
        </w:tabs>
        <w:ind w:left="4309" w:hanging="360"/>
      </w:pPr>
      <w:rPr>
        <w:rFonts w:ascii="Courier New" w:hAnsi="Courier New" w:hint="default"/>
      </w:rPr>
    </w:lvl>
    <w:lvl w:ilvl="5" w:tplc="0C0A0005">
      <w:start w:val="1"/>
      <w:numFmt w:val="bullet"/>
      <w:lvlText w:val=""/>
      <w:lvlJc w:val="left"/>
      <w:pPr>
        <w:tabs>
          <w:tab w:val="num" w:pos="5029"/>
        </w:tabs>
        <w:ind w:left="5029" w:hanging="360"/>
      </w:pPr>
      <w:rPr>
        <w:rFonts w:ascii="Wingdings" w:hAnsi="Wingdings" w:hint="default"/>
      </w:rPr>
    </w:lvl>
    <w:lvl w:ilvl="6" w:tplc="0C0A0001">
      <w:start w:val="1"/>
      <w:numFmt w:val="bullet"/>
      <w:lvlText w:val=""/>
      <w:lvlJc w:val="left"/>
      <w:pPr>
        <w:tabs>
          <w:tab w:val="num" w:pos="5749"/>
        </w:tabs>
        <w:ind w:left="5749" w:hanging="360"/>
      </w:pPr>
      <w:rPr>
        <w:rFonts w:ascii="Symbol" w:hAnsi="Symbol" w:hint="default"/>
      </w:rPr>
    </w:lvl>
    <w:lvl w:ilvl="7" w:tplc="0C0A0003">
      <w:start w:val="1"/>
      <w:numFmt w:val="bullet"/>
      <w:lvlText w:val="o"/>
      <w:lvlJc w:val="left"/>
      <w:pPr>
        <w:tabs>
          <w:tab w:val="num" w:pos="6469"/>
        </w:tabs>
        <w:ind w:left="6469" w:hanging="360"/>
      </w:pPr>
      <w:rPr>
        <w:rFonts w:ascii="Courier New" w:hAnsi="Courier New" w:hint="default"/>
      </w:rPr>
    </w:lvl>
    <w:lvl w:ilvl="8" w:tplc="0C0A0005">
      <w:start w:val="1"/>
      <w:numFmt w:val="bullet"/>
      <w:lvlText w:val=""/>
      <w:lvlJc w:val="left"/>
      <w:pPr>
        <w:tabs>
          <w:tab w:val="num" w:pos="7189"/>
        </w:tabs>
        <w:ind w:left="7189" w:hanging="360"/>
      </w:pPr>
      <w:rPr>
        <w:rFonts w:ascii="Wingdings" w:hAnsi="Wingdings" w:hint="default"/>
      </w:rPr>
    </w:lvl>
  </w:abstractNum>
  <w:abstractNum w:abstractNumId="8">
    <w:nsid w:val="131D7468"/>
    <w:multiLevelType w:val="hybridMultilevel"/>
    <w:tmpl w:val="CECA97D2"/>
    <w:lvl w:ilvl="0" w:tplc="0C0A0001">
      <w:start w:val="1"/>
      <w:numFmt w:val="bullet"/>
      <w:lvlText w:val=""/>
      <w:lvlJc w:val="left"/>
      <w:pPr>
        <w:tabs>
          <w:tab w:val="num" w:pos="360"/>
        </w:tabs>
        <w:ind w:left="360" w:hanging="360"/>
      </w:pPr>
      <w:rPr>
        <w:rFonts w:ascii="Symbol" w:hAnsi="Symbol" w:hint="default"/>
      </w:rPr>
    </w:lvl>
    <w:lvl w:ilvl="1" w:tplc="AB6E0654">
      <w:start w:val="1"/>
      <w:numFmt w:val="bullet"/>
      <w:lvlText w:val="o"/>
      <w:lvlJc w:val="left"/>
      <w:pPr>
        <w:tabs>
          <w:tab w:val="num" w:pos="1080"/>
        </w:tabs>
        <w:ind w:left="1080" w:hanging="360"/>
      </w:pPr>
      <w:rPr>
        <w:rFonts w:ascii="Courier New" w:hAnsi="Courier New" w:hint="default"/>
        <w:color w:val="000000"/>
      </w:rPr>
    </w:lvl>
    <w:lvl w:ilvl="2" w:tplc="0C0A0001">
      <w:start w:val="1"/>
      <w:numFmt w:val="bullet"/>
      <w:lvlText w:val=""/>
      <w:lvlJc w:val="left"/>
      <w:pPr>
        <w:tabs>
          <w:tab w:val="num" w:pos="1800"/>
        </w:tabs>
        <w:ind w:left="1800" w:hanging="360"/>
      </w:pPr>
      <w:rPr>
        <w:rFonts w:ascii="Symbol" w:hAnsi="Symbol" w:hint="default"/>
      </w:rPr>
    </w:lvl>
    <w:lvl w:ilvl="3" w:tplc="E420271C">
      <w:start w:val="3"/>
      <w:numFmt w:val="bullet"/>
      <w:lvlText w:val="-"/>
      <w:lvlJc w:val="left"/>
      <w:pPr>
        <w:tabs>
          <w:tab w:val="num" w:pos="2520"/>
        </w:tabs>
        <w:ind w:left="2520" w:hanging="360"/>
      </w:pPr>
      <w:rPr>
        <w:rFonts w:ascii="Tahoma" w:eastAsia="Times New Roman" w:hAnsi="Tahoma"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nsid w:val="16950FD7"/>
    <w:multiLevelType w:val="hybridMultilevel"/>
    <w:tmpl w:val="BBD2D9D0"/>
    <w:lvl w:ilvl="0" w:tplc="0C0A0003">
      <w:start w:val="1"/>
      <w:numFmt w:val="bullet"/>
      <w:lvlText w:val="o"/>
      <w:lvlJc w:val="left"/>
      <w:pPr>
        <w:tabs>
          <w:tab w:val="num" w:pos="1069"/>
        </w:tabs>
        <w:ind w:left="1069" w:hanging="360"/>
      </w:pPr>
      <w:rPr>
        <w:rFonts w:ascii="Courier New" w:hAnsi="Courier New" w:hint="default"/>
      </w:rPr>
    </w:lvl>
    <w:lvl w:ilvl="1" w:tplc="0C0A0003">
      <w:start w:val="1"/>
      <w:numFmt w:val="bullet"/>
      <w:lvlText w:val="o"/>
      <w:lvlJc w:val="left"/>
      <w:pPr>
        <w:tabs>
          <w:tab w:val="num" w:pos="1789"/>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start w:val="1"/>
      <w:numFmt w:val="bullet"/>
      <w:lvlText w:val=""/>
      <w:lvlJc w:val="left"/>
      <w:pPr>
        <w:tabs>
          <w:tab w:val="num" w:pos="3229"/>
        </w:tabs>
        <w:ind w:left="3229" w:hanging="360"/>
      </w:pPr>
      <w:rPr>
        <w:rFonts w:ascii="Symbol" w:hAnsi="Symbol" w:hint="default"/>
      </w:rPr>
    </w:lvl>
    <w:lvl w:ilvl="4" w:tplc="0C0A0003">
      <w:start w:val="1"/>
      <w:numFmt w:val="bullet"/>
      <w:lvlText w:val="o"/>
      <w:lvlJc w:val="left"/>
      <w:pPr>
        <w:tabs>
          <w:tab w:val="num" w:pos="3949"/>
        </w:tabs>
        <w:ind w:left="3949" w:hanging="360"/>
      </w:pPr>
      <w:rPr>
        <w:rFonts w:ascii="Courier New" w:hAnsi="Courier New" w:hint="default"/>
      </w:rPr>
    </w:lvl>
    <w:lvl w:ilvl="5" w:tplc="0C0A0005">
      <w:start w:val="1"/>
      <w:numFmt w:val="bullet"/>
      <w:lvlText w:val=""/>
      <w:lvlJc w:val="left"/>
      <w:pPr>
        <w:tabs>
          <w:tab w:val="num" w:pos="4669"/>
        </w:tabs>
        <w:ind w:left="4669" w:hanging="360"/>
      </w:pPr>
      <w:rPr>
        <w:rFonts w:ascii="Wingdings" w:hAnsi="Wingdings" w:hint="default"/>
      </w:rPr>
    </w:lvl>
    <w:lvl w:ilvl="6" w:tplc="0C0A0001">
      <w:start w:val="1"/>
      <w:numFmt w:val="bullet"/>
      <w:lvlText w:val=""/>
      <w:lvlJc w:val="left"/>
      <w:pPr>
        <w:tabs>
          <w:tab w:val="num" w:pos="5389"/>
        </w:tabs>
        <w:ind w:left="5389" w:hanging="360"/>
      </w:pPr>
      <w:rPr>
        <w:rFonts w:ascii="Symbol" w:hAnsi="Symbol" w:hint="default"/>
      </w:rPr>
    </w:lvl>
    <w:lvl w:ilvl="7" w:tplc="0C0A0003">
      <w:start w:val="1"/>
      <w:numFmt w:val="bullet"/>
      <w:lvlText w:val="o"/>
      <w:lvlJc w:val="left"/>
      <w:pPr>
        <w:tabs>
          <w:tab w:val="num" w:pos="6109"/>
        </w:tabs>
        <w:ind w:left="6109" w:hanging="360"/>
      </w:pPr>
      <w:rPr>
        <w:rFonts w:ascii="Courier New" w:hAnsi="Courier New" w:hint="default"/>
      </w:rPr>
    </w:lvl>
    <w:lvl w:ilvl="8" w:tplc="0C0A0005">
      <w:start w:val="1"/>
      <w:numFmt w:val="bullet"/>
      <w:lvlText w:val=""/>
      <w:lvlJc w:val="left"/>
      <w:pPr>
        <w:tabs>
          <w:tab w:val="num" w:pos="6829"/>
        </w:tabs>
        <w:ind w:left="6829" w:hanging="360"/>
      </w:pPr>
      <w:rPr>
        <w:rFonts w:ascii="Wingdings" w:hAnsi="Wingdings" w:hint="default"/>
      </w:rPr>
    </w:lvl>
  </w:abstractNum>
  <w:abstractNum w:abstractNumId="10">
    <w:nsid w:val="17FB1E3C"/>
    <w:multiLevelType w:val="multilevel"/>
    <w:tmpl w:val="79484C4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5F42B66"/>
    <w:multiLevelType w:val="hybridMultilevel"/>
    <w:tmpl w:val="BC9C2052"/>
    <w:lvl w:ilvl="0" w:tplc="0C0A0001">
      <w:start w:val="1"/>
      <w:numFmt w:val="bullet"/>
      <w:lvlText w:val=""/>
      <w:lvlJc w:val="left"/>
      <w:pPr>
        <w:tabs>
          <w:tab w:val="num" w:pos="360"/>
        </w:tabs>
        <w:ind w:left="360" w:hanging="360"/>
      </w:pPr>
      <w:rPr>
        <w:rFonts w:ascii="Symbol" w:hAnsi="Symbol" w:hint="default"/>
      </w:rPr>
    </w:lvl>
    <w:lvl w:ilvl="1" w:tplc="6C82437E">
      <w:start w:val="1"/>
      <w:numFmt w:val="bullet"/>
      <w:lvlText w:val=""/>
      <w:lvlJc w:val="left"/>
      <w:pPr>
        <w:tabs>
          <w:tab w:val="num" w:pos="928"/>
        </w:tabs>
        <w:ind w:left="928" w:hanging="360"/>
      </w:pPr>
      <w:rPr>
        <w:rFonts w:ascii="Symbol" w:hAnsi="Symbol" w:hint="default"/>
        <w:color w:val="000000"/>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nsid w:val="2717647E"/>
    <w:multiLevelType w:val="hybridMultilevel"/>
    <w:tmpl w:val="2522EB52"/>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27773EB6"/>
    <w:multiLevelType w:val="hybridMultilevel"/>
    <w:tmpl w:val="12DCE1BC"/>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2AF65BC0"/>
    <w:multiLevelType w:val="multilevel"/>
    <w:tmpl w:val="619AAC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AFE7EE3"/>
    <w:multiLevelType w:val="hybridMultilevel"/>
    <w:tmpl w:val="3C76EC34"/>
    <w:lvl w:ilvl="0" w:tplc="40F43EB6">
      <w:start w:val="1"/>
      <w:numFmt w:val="decimal"/>
      <w:lvlText w:val="%1."/>
      <w:lvlJc w:val="left"/>
      <w:pPr>
        <w:tabs>
          <w:tab w:val="num" w:pos="858"/>
        </w:tabs>
        <w:ind w:left="858" w:hanging="360"/>
      </w:pPr>
      <w:rPr>
        <w:rFonts w:cs="Times New Roman" w:hint="default"/>
      </w:rPr>
    </w:lvl>
    <w:lvl w:ilvl="1" w:tplc="0C0A0019">
      <w:start w:val="1"/>
      <w:numFmt w:val="lowerLetter"/>
      <w:lvlText w:val="%2."/>
      <w:lvlJc w:val="left"/>
      <w:pPr>
        <w:tabs>
          <w:tab w:val="num" w:pos="1578"/>
        </w:tabs>
        <w:ind w:left="1578" w:hanging="360"/>
      </w:pPr>
      <w:rPr>
        <w:rFonts w:cs="Times New Roman"/>
      </w:rPr>
    </w:lvl>
    <w:lvl w:ilvl="2" w:tplc="0C0A001B">
      <w:start w:val="1"/>
      <w:numFmt w:val="lowerRoman"/>
      <w:lvlText w:val="%3."/>
      <w:lvlJc w:val="right"/>
      <w:pPr>
        <w:tabs>
          <w:tab w:val="num" w:pos="2298"/>
        </w:tabs>
        <w:ind w:left="2298" w:hanging="180"/>
      </w:pPr>
      <w:rPr>
        <w:rFonts w:cs="Times New Roman"/>
      </w:rPr>
    </w:lvl>
    <w:lvl w:ilvl="3" w:tplc="0C0A000F">
      <w:start w:val="1"/>
      <w:numFmt w:val="decimal"/>
      <w:lvlText w:val="%4."/>
      <w:lvlJc w:val="left"/>
      <w:pPr>
        <w:tabs>
          <w:tab w:val="num" w:pos="3018"/>
        </w:tabs>
        <w:ind w:left="3018" w:hanging="360"/>
      </w:pPr>
      <w:rPr>
        <w:rFonts w:cs="Times New Roman"/>
      </w:rPr>
    </w:lvl>
    <w:lvl w:ilvl="4" w:tplc="0C0A0019">
      <w:start w:val="1"/>
      <w:numFmt w:val="lowerLetter"/>
      <w:lvlText w:val="%5."/>
      <w:lvlJc w:val="left"/>
      <w:pPr>
        <w:tabs>
          <w:tab w:val="num" w:pos="3738"/>
        </w:tabs>
        <w:ind w:left="3738" w:hanging="360"/>
      </w:pPr>
      <w:rPr>
        <w:rFonts w:cs="Times New Roman"/>
      </w:rPr>
    </w:lvl>
    <w:lvl w:ilvl="5" w:tplc="0C0A001B">
      <w:start w:val="1"/>
      <w:numFmt w:val="lowerRoman"/>
      <w:lvlText w:val="%6."/>
      <w:lvlJc w:val="right"/>
      <w:pPr>
        <w:tabs>
          <w:tab w:val="num" w:pos="4458"/>
        </w:tabs>
        <w:ind w:left="4458" w:hanging="180"/>
      </w:pPr>
      <w:rPr>
        <w:rFonts w:cs="Times New Roman"/>
      </w:rPr>
    </w:lvl>
    <w:lvl w:ilvl="6" w:tplc="0C0A000F">
      <w:start w:val="1"/>
      <w:numFmt w:val="decimal"/>
      <w:lvlText w:val="%7."/>
      <w:lvlJc w:val="left"/>
      <w:pPr>
        <w:tabs>
          <w:tab w:val="num" w:pos="5178"/>
        </w:tabs>
        <w:ind w:left="5178" w:hanging="360"/>
      </w:pPr>
      <w:rPr>
        <w:rFonts w:cs="Times New Roman"/>
      </w:rPr>
    </w:lvl>
    <w:lvl w:ilvl="7" w:tplc="0C0A0019">
      <w:start w:val="1"/>
      <w:numFmt w:val="lowerLetter"/>
      <w:lvlText w:val="%8."/>
      <w:lvlJc w:val="left"/>
      <w:pPr>
        <w:tabs>
          <w:tab w:val="num" w:pos="5898"/>
        </w:tabs>
        <w:ind w:left="5898" w:hanging="360"/>
      </w:pPr>
      <w:rPr>
        <w:rFonts w:cs="Times New Roman"/>
      </w:rPr>
    </w:lvl>
    <w:lvl w:ilvl="8" w:tplc="0C0A001B">
      <w:start w:val="1"/>
      <w:numFmt w:val="lowerRoman"/>
      <w:lvlText w:val="%9."/>
      <w:lvlJc w:val="right"/>
      <w:pPr>
        <w:tabs>
          <w:tab w:val="num" w:pos="6618"/>
        </w:tabs>
        <w:ind w:left="6618" w:hanging="180"/>
      </w:pPr>
      <w:rPr>
        <w:rFonts w:cs="Times New Roman"/>
      </w:rPr>
    </w:lvl>
  </w:abstractNum>
  <w:abstractNum w:abstractNumId="16">
    <w:nsid w:val="3413741E"/>
    <w:multiLevelType w:val="hybridMultilevel"/>
    <w:tmpl w:val="9244CAEA"/>
    <w:lvl w:ilvl="0" w:tplc="69A4575C">
      <w:start w:val="1"/>
      <w:numFmt w:val="bullet"/>
      <w:lvlText w:val=""/>
      <w:lvlJc w:val="left"/>
      <w:pPr>
        <w:tabs>
          <w:tab w:val="num" w:pos="720"/>
        </w:tabs>
        <w:ind w:left="720" w:hanging="360"/>
      </w:pPr>
      <w:rPr>
        <w:rFonts w:ascii="Symbol" w:hAnsi="Symbol" w:hint="default"/>
        <w:sz w:val="18"/>
      </w:rPr>
    </w:lvl>
    <w:lvl w:ilvl="1" w:tplc="0C0A0003">
      <w:start w:val="1"/>
      <w:numFmt w:val="bullet"/>
      <w:lvlText w:val="o"/>
      <w:lvlJc w:val="left"/>
      <w:pPr>
        <w:tabs>
          <w:tab w:val="num" w:pos="-200"/>
        </w:tabs>
        <w:ind w:left="-200" w:hanging="360"/>
      </w:pPr>
      <w:rPr>
        <w:rFonts w:ascii="Courier New" w:hAnsi="Courier New" w:hint="default"/>
        <w:sz w:val="18"/>
      </w:rPr>
    </w:lvl>
    <w:lvl w:ilvl="2" w:tplc="0C0A0005">
      <w:start w:val="1"/>
      <w:numFmt w:val="bullet"/>
      <w:lvlText w:val=""/>
      <w:lvlJc w:val="left"/>
      <w:pPr>
        <w:tabs>
          <w:tab w:val="num" w:pos="520"/>
        </w:tabs>
        <w:ind w:left="520" w:hanging="360"/>
      </w:pPr>
      <w:rPr>
        <w:rFonts w:ascii="Wingdings" w:hAnsi="Wingdings" w:hint="default"/>
      </w:rPr>
    </w:lvl>
    <w:lvl w:ilvl="3" w:tplc="0C0A0001">
      <w:start w:val="1"/>
      <w:numFmt w:val="bullet"/>
      <w:lvlText w:val=""/>
      <w:lvlJc w:val="left"/>
      <w:pPr>
        <w:tabs>
          <w:tab w:val="num" w:pos="1240"/>
        </w:tabs>
        <w:ind w:left="1240" w:hanging="360"/>
      </w:pPr>
      <w:rPr>
        <w:rFonts w:ascii="Symbol" w:hAnsi="Symbol" w:hint="default"/>
      </w:rPr>
    </w:lvl>
    <w:lvl w:ilvl="4" w:tplc="0C0A0003">
      <w:start w:val="1"/>
      <w:numFmt w:val="bullet"/>
      <w:lvlText w:val="o"/>
      <w:lvlJc w:val="left"/>
      <w:pPr>
        <w:tabs>
          <w:tab w:val="num" w:pos="1960"/>
        </w:tabs>
        <w:ind w:left="1960" w:hanging="360"/>
      </w:pPr>
      <w:rPr>
        <w:rFonts w:ascii="Courier New" w:hAnsi="Courier New" w:hint="default"/>
      </w:rPr>
    </w:lvl>
    <w:lvl w:ilvl="5" w:tplc="0C0A0005">
      <w:start w:val="1"/>
      <w:numFmt w:val="bullet"/>
      <w:lvlText w:val=""/>
      <w:lvlJc w:val="left"/>
      <w:pPr>
        <w:tabs>
          <w:tab w:val="num" w:pos="2680"/>
        </w:tabs>
        <w:ind w:left="2680" w:hanging="360"/>
      </w:pPr>
      <w:rPr>
        <w:rFonts w:ascii="Wingdings" w:hAnsi="Wingdings" w:hint="default"/>
      </w:rPr>
    </w:lvl>
    <w:lvl w:ilvl="6" w:tplc="0C0A0001">
      <w:start w:val="1"/>
      <w:numFmt w:val="bullet"/>
      <w:lvlText w:val=""/>
      <w:lvlJc w:val="left"/>
      <w:pPr>
        <w:tabs>
          <w:tab w:val="num" w:pos="3400"/>
        </w:tabs>
        <w:ind w:left="3400" w:hanging="360"/>
      </w:pPr>
      <w:rPr>
        <w:rFonts w:ascii="Symbol" w:hAnsi="Symbol" w:hint="default"/>
      </w:rPr>
    </w:lvl>
    <w:lvl w:ilvl="7" w:tplc="0C0A0003">
      <w:start w:val="1"/>
      <w:numFmt w:val="bullet"/>
      <w:lvlText w:val="o"/>
      <w:lvlJc w:val="left"/>
      <w:pPr>
        <w:tabs>
          <w:tab w:val="num" w:pos="4120"/>
        </w:tabs>
        <w:ind w:left="4120" w:hanging="360"/>
      </w:pPr>
      <w:rPr>
        <w:rFonts w:ascii="Courier New" w:hAnsi="Courier New" w:hint="default"/>
      </w:rPr>
    </w:lvl>
    <w:lvl w:ilvl="8" w:tplc="0C0A0005">
      <w:start w:val="1"/>
      <w:numFmt w:val="bullet"/>
      <w:lvlText w:val=""/>
      <w:lvlJc w:val="left"/>
      <w:pPr>
        <w:tabs>
          <w:tab w:val="num" w:pos="4840"/>
        </w:tabs>
        <w:ind w:left="4840" w:hanging="360"/>
      </w:pPr>
      <w:rPr>
        <w:rFonts w:ascii="Wingdings" w:hAnsi="Wingdings" w:hint="default"/>
      </w:rPr>
    </w:lvl>
  </w:abstractNum>
  <w:abstractNum w:abstractNumId="17">
    <w:nsid w:val="390778EA"/>
    <w:multiLevelType w:val="hybridMultilevel"/>
    <w:tmpl w:val="445A8DA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nsid w:val="3D883A6E"/>
    <w:multiLevelType w:val="multilevel"/>
    <w:tmpl w:val="64B844F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4AAB4522"/>
    <w:multiLevelType w:val="multilevel"/>
    <w:tmpl w:val="0D0859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BE66899"/>
    <w:multiLevelType w:val="hybridMultilevel"/>
    <w:tmpl w:val="2C0C1DB8"/>
    <w:lvl w:ilvl="0" w:tplc="0C0A0003">
      <w:start w:val="1"/>
      <w:numFmt w:val="bullet"/>
      <w:lvlText w:val="o"/>
      <w:lvlJc w:val="left"/>
      <w:pPr>
        <w:tabs>
          <w:tab w:val="num" w:pos="1440"/>
        </w:tabs>
        <w:ind w:left="144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1">
    <w:nsid w:val="500E5CEB"/>
    <w:multiLevelType w:val="hybridMultilevel"/>
    <w:tmpl w:val="CE10CDB2"/>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51EF73FE"/>
    <w:multiLevelType w:val="hybridMultilevel"/>
    <w:tmpl w:val="0D024FC8"/>
    <w:lvl w:ilvl="0" w:tplc="11AAF72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52F016AA"/>
    <w:multiLevelType w:val="hybridMultilevel"/>
    <w:tmpl w:val="544EABB0"/>
    <w:lvl w:ilvl="0" w:tplc="0C0A0003">
      <w:start w:val="1"/>
      <w:numFmt w:val="bullet"/>
      <w:lvlText w:val="o"/>
      <w:lvlJc w:val="left"/>
      <w:pPr>
        <w:tabs>
          <w:tab w:val="num" w:pos="1429"/>
        </w:tabs>
        <w:ind w:left="1429" w:hanging="360"/>
      </w:pPr>
      <w:rPr>
        <w:rFonts w:ascii="Courier New" w:hAnsi="Courier New"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4">
    <w:nsid w:val="55F96C57"/>
    <w:multiLevelType w:val="hybridMultilevel"/>
    <w:tmpl w:val="2820BCAC"/>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5">
    <w:nsid w:val="59E32BCE"/>
    <w:multiLevelType w:val="hybridMultilevel"/>
    <w:tmpl w:val="777A274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5DC17343"/>
    <w:multiLevelType w:val="hybridMultilevel"/>
    <w:tmpl w:val="64B844FC"/>
    <w:lvl w:ilvl="0" w:tplc="0C0A0001">
      <w:start w:val="1"/>
      <w:numFmt w:val="bullet"/>
      <w:lvlText w:val=""/>
      <w:lvlJc w:val="left"/>
      <w:pPr>
        <w:tabs>
          <w:tab w:val="num" w:pos="360"/>
        </w:tabs>
        <w:ind w:left="360" w:hanging="360"/>
      </w:pPr>
      <w:rPr>
        <w:rFonts w:ascii="Symbol" w:hAnsi="Symbol" w:hint="default"/>
      </w:rPr>
    </w:lvl>
    <w:lvl w:ilvl="1" w:tplc="0C0A000D">
      <w:start w:val="1"/>
      <w:numFmt w:val="bullet"/>
      <w:lvlText w:val=""/>
      <w:lvlJc w:val="left"/>
      <w:pPr>
        <w:tabs>
          <w:tab w:val="num" w:pos="1080"/>
        </w:tabs>
        <w:ind w:left="1080" w:hanging="360"/>
      </w:pPr>
      <w:rPr>
        <w:rFonts w:ascii="Wingdings" w:hAnsi="Wingdings"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nsid w:val="60417752"/>
    <w:multiLevelType w:val="hybridMultilevel"/>
    <w:tmpl w:val="619AAC7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8">
    <w:nsid w:val="63F50553"/>
    <w:multiLevelType w:val="hybridMultilevel"/>
    <w:tmpl w:val="C3F63E8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6982761F"/>
    <w:multiLevelType w:val="hybridMultilevel"/>
    <w:tmpl w:val="AA0C3822"/>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nsid w:val="6B1D0717"/>
    <w:multiLevelType w:val="hybridMultilevel"/>
    <w:tmpl w:val="38D0DC9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nsid w:val="6B986A67"/>
    <w:multiLevelType w:val="hybridMultilevel"/>
    <w:tmpl w:val="92FC5590"/>
    <w:lvl w:ilvl="0" w:tplc="E9A8607C">
      <w:start w:val="1"/>
      <w:numFmt w:val="bullet"/>
      <w:lvlText w:val=""/>
      <w:lvlJc w:val="left"/>
      <w:pPr>
        <w:tabs>
          <w:tab w:val="num" w:pos="360"/>
        </w:tabs>
        <w:ind w:left="360" w:hanging="360"/>
      </w:pPr>
      <w:rPr>
        <w:rFonts w:ascii="Symbol" w:hAnsi="Symbol" w:hint="default"/>
        <w:color w:val="000000"/>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2">
    <w:nsid w:val="6F820C3B"/>
    <w:multiLevelType w:val="hybridMultilevel"/>
    <w:tmpl w:val="A442E3F4"/>
    <w:lvl w:ilvl="0" w:tplc="E89EAC82">
      <w:start w:val="1"/>
      <w:numFmt w:val="decimal"/>
      <w:lvlText w:val="%1)"/>
      <w:lvlJc w:val="left"/>
      <w:pPr>
        <w:tabs>
          <w:tab w:val="num" w:pos="858"/>
        </w:tabs>
        <w:ind w:left="858" w:hanging="360"/>
      </w:pPr>
      <w:rPr>
        <w:rFonts w:cs="Times New Roman" w:hint="default"/>
      </w:rPr>
    </w:lvl>
    <w:lvl w:ilvl="1" w:tplc="0C0A0019">
      <w:start w:val="1"/>
      <w:numFmt w:val="lowerLetter"/>
      <w:lvlText w:val="%2."/>
      <w:lvlJc w:val="left"/>
      <w:pPr>
        <w:tabs>
          <w:tab w:val="num" w:pos="1578"/>
        </w:tabs>
        <w:ind w:left="1578" w:hanging="360"/>
      </w:pPr>
      <w:rPr>
        <w:rFonts w:cs="Times New Roman"/>
      </w:rPr>
    </w:lvl>
    <w:lvl w:ilvl="2" w:tplc="0C0A001B">
      <w:start w:val="1"/>
      <w:numFmt w:val="lowerRoman"/>
      <w:lvlText w:val="%3."/>
      <w:lvlJc w:val="right"/>
      <w:pPr>
        <w:tabs>
          <w:tab w:val="num" w:pos="2298"/>
        </w:tabs>
        <w:ind w:left="2298" w:hanging="180"/>
      </w:pPr>
      <w:rPr>
        <w:rFonts w:cs="Times New Roman"/>
      </w:rPr>
    </w:lvl>
    <w:lvl w:ilvl="3" w:tplc="0C0A000F">
      <w:start w:val="1"/>
      <w:numFmt w:val="decimal"/>
      <w:lvlText w:val="%4."/>
      <w:lvlJc w:val="left"/>
      <w:pPr>
        <w:tabs>
          <w:tab w:val="num" w:pos="3018"/>
        </w:tabs>
        <w:ind w:left="3018" w:hanging="360"/>
      </w:pPr>
      <w:rPr>
        <w:rFonts w:cs="Times New Roman"/>
      </w:rPr>
    </w:lvl>
    <w:lvl w:ilvl="4" w:tplc="0C0A0019">
      <w:start w:val="1"/>
      <w:numFmt w:val="lowerLetter"/>
      <w:lvlText w:val="%5."/>
      <w:lvlJc w:val="left"/>
      <w:pPr>
        <w:tabs>
          <w:tab w:val="num" w:pos="3738"/>
        </w:tabs>
        <w:ind w:left="3738" w:hanging="360"/>
      </w:pPr>
      <w:rPr>
        <w:rFonts w:cs="Times New Roman"/>
      </w:rPr>
    </w:lvl>
    <w:lvl w:ilvl="5" w:tplc="0C0A001B">
      <w:start w:val="1"/>
      <w:numFmt w:val="lowerRoman"/>
      <w:lvlText w:val="%6."/>
      <w:lvlJc w:val="right"/>
      <w:pPr>
        <w:tabs>
          <w:tab w:val="num" w:pos="4458"/>
        </w:tabs>
        <w:ind w:left="4458" w:hanging="180"/>
      </w:pPr>
      <w:rPr>
        <w:rFonts w:cs="Times New Roman"/>
      </w:rPr>
    </w:lvl>
    <w:lvl w:ilvl="6" w:tplc="0C0A000F">
      <w:start w:val="1"/>
      <w:numFmt w:val="decimal"/>
      <w:lvlText w:val="%7."/>
      <w:lvlJc w:val="left"/>
      <w:pPr>
        <w:tabs>
          <w:tab w:val="num" w:pos="5178"/>
        </w:tabs>
        <w:ind w:left="5178" w:hanging="360"/>
      </w:pPr>
      <w:rPr>
        <w:rFonts w:cs="Times New Roman"/>
      </w:rPr>
    </w:lvl>
    <w:lvl w:ilvl="7" w:tplc="0C0A0019">
      <w:start w:val="1"/>
      <w:numFmt w:val="lowerLetter"/>
      <w:lvlText w:val="%8."/>
      <w:lvlJc w:val="left"/>
      <w:pPr>
        <w:tabs>
          <w:tab w:val="num" w:pos="5898"/>
        </w:tabs>
        <w:ind w:left="5898" w:hanging="360"/>
      </w:pPr>
      <w:rPr>
        <w:rFonts w:cs="Times New Roman"/>
      </w:rPr>
    </w:lvl>
    <w:lvl w:ilvl="8" w:tplc="0C0A001B">
      <w:start w:val="1"/>
      <w:numFmt w:val="lowerRoman"/>
      <w:lvlText w:val="%9."/>
      <w:lvlJc w:val="right"/>
      <w:pPr>
        <w:tabs>
          <w:tab w:val="num" w:pos="6618"/>
        </w:tabs>
        <w:ind w:left="6618" w:hanging="180"/>
      </w:pPr>
      <w:rPr>
        <w:rFonts w:cs="Times New Roman"/>
      </w:rPr>
    </w:lvl>
  </w:abstractNum>
  <w:num w:numId="1">
    <w:abstractNumId w:val="31"/>
  </w:num>
  <w:num w:numId="2">
    <w:abstractNumId w:val="16"/>
  </w:num>
  <w:num w:numId="3">
    <w:abstractNumId w:val="32"/>
  </w:num>
  <w:num w:numId="4">
    <w:abstractNumId w:val="24"/>
  </w:num>
  <w:num w:numId="5">
    <w:abstractNumId w:val="4"/>
  </w:num>
  <w:num w:numId="6">
    <w:abstractNumId w:val="25"/>
  </w:num>
  <w:num w:numId="7">
    <w:abstractNumId w:val="19"/>
  </w:num>
  <w:num w:numId="8">
    <w:abstractNumId w:val="26"/>
  </w:num>
  <w:num w:numId="9">
    <w:abstractNumId w:val="17"/>
  </w:num>
  <w:num w:numId="10">
    <w:abstractNumId w:val="30"/>
  </w:num>
  <w:num w:numId="11">
    <w:abstractNumId w:val="15"/>
  </w:num>
  <w:num w:numId="12">
    <w:abstractNumId w:val="13"/>
  </w:num>
  <w:num w:numId="13">
    <w:abstractNumId w:val="9"/>
  </w:num>
  <w:num w:numId="14">
    <w:abstractNumId w:val="7"/>
  </w:num>
  <w:num w:numId="15">
    <w:abstractNumId w:val="3"/>
  </w:num>
  <w:num w:numId="16">
    <w:abstractNumId w:val="0"/>
  </w:num>
  <w:num w:numId="17">
    <w:abstractNumId w:val="22"/>
  </w:num>
  <w:num w:numId="18">
    <w:abstractNumId w:val="20"/>
  </w:num>
  <w:num w:numId="19">
    <w:abstractNumId w:val="18"/>
  </w:num>
  <w:num w:numId="20">
    <w:abstractNumId w:val="27"/>
  </w:num>
  <w:num w:numId="21">
    <w:abstractNumId w:val="21"/>
  </w:num>
  <w:num w:numId="22">
    <w:abstractNumId w:val="2"/>
  </w:num>
  <w:num w:numId="23">
    <w:abstractNumId w:val="28"/>
  </w:num>
  <w:num w:numId="24">
    <w:abstractNumId w:val="14"/>
  </w:num>
  <w:num w:numId="25">
    <w:abstractNumId w:val="11"/>
  </w:num>
  <w:num w:numId="26">
    <w:abstractNumId w:val="10"/>
  </w:num>
  <w:num w:numId="27">
    <w:abstractNumId w:val="8"/>
  </w:num>
  <w:num w:numId="28">
    <w:abstractNumId w:val="5"/>
  </w:num>
  <w:num w:numId="29">
    <w:abstractNumId w:val="12"/>
  </w:num>
  <w:num w:numId="30">
    <w:abstractNumId w:val="29"/>
  </w:num>
  <w:num w:numId="31">
    <w:abstractNumId w:val="1"/>
  </w:num>
  <w:num w:numId="32">
    <w:abstractNumId w:val="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4101"/>
    <w:rsid w:val="0000149F"/>
    <w:rsid w:val="00001881"/>
    <w:rsid w:val="000026D7"/>
    <w:rsid w:val="00004257"/>
    <w:rsid w:val="000043FF"/>
    <w:rsid w:val="0000449C"/>
    <w:rsid w:val="00004B1E"/>
    <w:rsid w:val="00005DE6"/>
    <w:rsid w:val="0000607F"/>
    <w:rsid w:val="00006D63"/>
    <w:rsid w:val="00007A63"/>
    <w:rsid w:val="000114C5"/>
    <w:rsid w:val="000134CC"/>
    <w:rsid w:val="00013BF1"/>
    <w:rsid w:val="00013CCF"/>
    <w:rsid w:val="000145A8"/>
    <w:rsid w:val="0002300F"/>
    <w:rsid w:val="00024384"/>
    <w:rsid w:val="00024654"/>
    <w:rsid w:val="00025685"/>
    <w:rsid w:val="000262FB"/>
    <w:rsid w:val="00026F0C"/>
    <w:rsid w:val="00027A1E"/>
    <w:rsid w:val="00031D01"/>
    <w:rsid w:val="00033132"/>
    <w:rsid w:val="00033573"/>
    <w:rsid w:val="00034B67"/>
    <w:rsid w:val="00034E39"/>
    <w:rsid w:val="000364D1"/>
    <w:rsid w:val="0003655E"/>
    <w:rsid w:val="0003659C"/>
    <w:rsid w:val="00037469"/>
    <w:rsid w:val="000376C2"/>
    <w:rsid w:val="000401E1"/>
    <w:rsid w:val="00040200"/>
    <w:rsid w:val="00041433"/>
    <w:rsid w:val="0004165C"/>
    <w:rsid w:val="000422A7"/>
    <w:rsid w:val="0004286C"/>
    <w:rsid w:val="00042F20"/>
    <w:rsid w:val="000430DB"/>
    <w:rsid w:val="00044AD5"/>
    <w:rsid w:val="00046313"/>
    <w:rsid w:val="000474E1"/>
    <w:rsid w:val="00047756"/>
    <w:rsid w:val="00050AA7"/>
    <w:rsid w:val="00051702"/>
    <w:rsid w:val="00051BF4"/>
    <w:rsid w:val="000521E5"/>
    <w:rsid w:val="00060C6F"/>
    <w:rsid w:val="000619D4"/>
    <w:rsid w:val="000625E5"/>
    <w:rsid w:val="00062783"/>
    <w:rsid w:val="000638E4"/>
    <w:rsid w:val="000641D9"/>
    <w:rsid w:val="00064DC4"/>
    <w:rsid w:val="0006564A"/>
    <w:rsid w:val="000670A1"/>
    <w:rsid w:val="000670BF"/>
    <w:rsid w:val="000674EB"/>
    <w:rsid w:val="00067FE6"/>
    <w:rsid w:val="00073BC8"/>
    <w:rsid w:val="00073D21"/>
    <w:rsid w:val="000744DE"/>
    <w:rsid w:val="00074FC0"/>
    <w:rsid w:val="000772B3"/>
    <w:rsid w:val="0007775A"/>
    <w:rsid w:val="000813AC"/>
    <w:rsid w:val="0008194B"/>
    <w:rsid w:val="00081A73"/>
    <w:rsid w:val="00081CEB"/>
    <w:rsid w:val="00082104"/>
    <w:rsid w:val="0008217C"/>
    <w:rsid w:val="00082E55"/>
    <w:rsid w:val="00083B68"/>
    <w:rsid w:val="00084298"/>
    <w:rsid w:val="00086826"/>
    <w:rsid w:val="00086F7D"/>
    <w:rsid w:val="00087F2F"/>
    <w:rsid w:val="00090236"/>
    <w:rsid w:val="0009051A"/>
    <w:rsid w:val="00090ED5"/>
    <w:rsid w:val="00091069"/>
    <w:rsid w:val="00091456"/>
    <w:rsid w:val="00094308"/>
    <w:rsid w:val="00094D19"/>
    <w:rsid w:val="00094E6A"/>
    <w:rsid w:val="00095828"/>
    <w:rsid w:val="00096B5B"/>
    <w:rsid w:val="000A0539"/>
    <w:rsid w:val="000A0718"/>
    <w:rsid w:val="000A0728"/>
    <w:rsid w:val="000A0EBB"/>
    <w:rsid w:val="000A1378"/>
    <w:rsid w:val="000A13B1"/>
    <w:rsid w:val="000A16E8"/>
    <w:rsid w:val="000A2B5F"/>
    <w:rsid w:val="000A4553"/>
    <w:rsid w:val="000A4C91"/>
    <w:rsid w:val="000B07E9"/>
    <w:rsid w:val="000B24BF"/>
    <w:rsid w:val="000B4512"/>
    <w:rsid w:val="000B5E09"/>
    <w:rsid w:val="000C4614"/>
    <w:rsid w:val="000C6C25"/>
    <w:rsid w:val="000D2A68"/>
    <w:rsid w:val="000D2E08"/>
    <w:rsid w:val="000D4472"/>
    <w:rsid w:val="000D4669"/>
    <w:rsid w:val="000D4868"/>
    <w:rsid w:val="000D6AD3"/>
    <w:rsid w:val="000D6DAE"/>
    <w:rsid w:val="000D6DC4"/>
    <w:rsid w:val="000E11EC"/>
    <w:rsid w:val="000E138B"/>
    <w:rsid w:val="000E1FEE"/>
    <w:rsid w:val="000E27CE"/>
    <w:rsid w:val="000E3F89"/>
    <w:rsid w:val="000E438C"/>
    <w:rsid w:val="000E4DC3"/>
    <w:rsid w:val="000E5D80"/>
    <w:rsid w:val="000E7BA6"/>
    <w:rsid w:val="000F4330"/>
    <w:rsid w:val="000F66A6"/>
    <w:rsid w:val="000F6AFB"/>
    <w:rsid w:val="000F6B21"/>
    <w:rsid w:val="000F7BCC"/>
    <w:rsid w:val="00103814"/>
    <w:rsid w:val="00103856"/>
    <w:rsid w:val="00104892"/>
    <w:rsid w:val="001066A1"/>
    <w:rsid w:val="00106AE8"/>
    <w:rsid w:val="00106AF2"/>
    <w:rsid w:val="00106B18"/>
    <w:rsid w:val="00111EEA"/>
    <w:rsid w:val="00114420"/>
    <w:rsid w:val="00114B8E"/>
    <w:rsid w:val="00115C0E"/>
    <w:rsid w:val="00117D72"/>
    <w:rsid w:val="00117FB3"/>
    <w:rsid w:val="00121176"/>
    <w:rsid w:val="00121588"/>
    <w:rsid w:val="001219F9"/>
    <w:rsid w:val="001227D7"/>
    <w:rsid w:val="00123D85"/>
    <w:rsid w:val="00123EB0"/>
    <w:rsid w:val="00124074"/>
    <w:rsid w:val="001262D5"/>
    <w:rsid w:val="00126D41"/>
    <w:rsid w:val="00127168"/>
    <w:rsid w:val="001276BA"/>
    <w:rsid w:val="00127E36"/>
    <w:rsid w:val="00127F6D"/>
    <w:rsid w:val="00130B4C"/>
    <w:rsid w:val="001323E4"/>
    <w:rsid w:val="00132979"/>
    <w:rsid w:val="00132E11"/>
    <w:rsid w:val="00132E46"/>
    <w:rsid w:val="00133842"/>
    <w:rsid w:val="00133BF1"/>
    <w:rsid w:val="001340CE"/>
    <w:rsid w:val="00134857"/>
    <w:rsid w:val="001349ED"/>
    <w:rsid w:val="00136288"/>
    <w:rsid w:val="00136724"/>
    <w:rsid w:val="0013730E"/>
    <w:rsid w:val="00140D55"/>
    <w:rsid w:val="00141F88"/>
    <w:rsid w:val="00142EC7"/>
    <w:rsid w:val="0014417D"/>
    <w:rsid w:val="00144CD3"/>
    <w:rsid w:val="00145697"/>
    <w:rsid w:val="00146AC0"/>
    <w:rsid w:val="00151156"/>
    <w:rsid w:val="00151D47"/>
    <w:rsid w:val="00153B3C"/>
    <w:rsid w:val="00153D3B"/>
    <w:rsid w:val="00154F34"/>
    <w:rsid w:val="001568BA"/>
    <w:rsid w:val="00161035"/>
    <w:rsid w:val="00161727"/>
    <w:rsid w:val="0016452F"/>
    <w:rsid w:val="00164C1D"/>
    <w:rsid w:val="00165824"/>
    <w:rsid w:val="00167256"/>
    <w:rsid w:val="0016784E"/>
    <w:rsid w:val="00167AB7"/>
    <w:rsid w:val="00167F27"/>
    <w:rsid w:val="0017037F"/>
    <w:rsid w:val="00170E15"/>
    <w:rsid w:val="00172252"/>
    <w:rsid w:val="00172AD7"/>
    <w:rsid w:val="0017307D"/>
    <w:rsid w:val="0018392F"/>
    <w:rsid w:val="00183DBB"/>
    <w:rsid w:val="001841B6"/>
    <w:rsid w:val="00186178"/>
    <w:rsid w:val="001901BB"/>
    <w:rsid w:val="00191250"/>
    <w:rsid w:val="001916AC"/>
    <w:rsid w:val="00191B0B"/>
    <w:rsid w:val="00191D3C"/>
    <w:rsid w:val="00191E02"/>
    <w:rsid w:val="00192C58"/>
    <w:rsid w:val="001A0080"/>
    <w:rsid w:val="001A11A2"/>
    <w:rsid w:val="001A3269"/>
    <w:rsid w:val="001A53A7"/>
    <w:rsid w:val="001A55CE"/>
    <w:rsid w:val="001A6F75"/>
    <w:rsid w:val="001A78C7"/>
    <w:rsid w:val="001B0477"/>
    <w:rsid w:val="001B1BEB"/>
    <w:rsid w:val="001B1C6C"/>
    <w:rsid w:val="001B6D75"/>
    <w:rsid w:val="001B6FAB"/>
    <w:rsid w:val="001B722B"/>
    <w:rsid w:val="001B735D"/>
    <w:rsid w:val="001C5E15"/>
    <w:rsid w:val="001C6B34"/>
    <w:rsid w:val="001C6D6C"/>
    <w:rsid w:val="001D486D"/>
    <w:rsid w:val="001D521A"/>
    <w:rsid w:val="001D5C01"/>
    <w:rsid w:val="001D6B7B"/>
    <w:rsid w:val="001D6F45"/>
    <w:rsid w:val="001E03CE"/>
    <w:rsid w:val="001E0726"/>
    <w:rsid w:val="001E0E27"/>
    <w:rsid w:val="001E1240"/>
    <w:rsid w:val="001E238A"/>
    <w:rsid w:val="001E2C3D"/>
    <w:rsid w:val="001E42AC"/>
    <w:rsid w:val="001E44C9"/>
    <w:rsid w:val="001E59D9"/>
    <w:rsid w:val="001E66CB"/>
    <w:rsid w:val="001E7A00"/>
    <w:rsid w:val="001E7C2C"/>
    <w:rsid w:val="001F78E9"/>
    <w:rsid w:val="001F7A6C"/>
    <w:rsid w:val="002000C7"/>
    <w:rsid w:val="002003EF"/>
    <w:rsid w:val="0020109E"/>
    <w:rsid w:val="002016AA"/>
    <w:rsid w:val="002019D8"/>
    <w:rsid w:val="00202846"/>
    <w:rsid w:val="00202A60"/>
    <w:rsid w:val="00207CC0"/>
    <w:rsid w:val="002131B3"/>
    <w:rsid w:val="002144DB"/>
    <w:rsid w:val="00220C36"/>
    <w:rsid w:val="00221004"/>
    <w:rsid w:val="00221CC5"/>
    <w:rsid w:val="0022211A"/>
    <w:rsid w:val="002234CB"/>
    <w:rsid w:val="002238E6"/>
    <w:rsid w:val="002251C9"/>
    <w:rsid w:val="002261E1"/>
    <w:rsid w:val="00227457"/>
    <w:rsid w:val="0023055B"/>
    <w:rsid w:val="002305E6"/>
    <w:rsid w:val="00232C57"/>
    <w:rsid w:val="00233688"/>
    <w:rsid w:val="00233AAF"/>
    <w:rsid w:val="00233E90"/>
    <w:rsid w:val="00235A7F"/>
    <w:rsid w:val="0023611E"/>
    <w:rsid w:val="0023642A"/>
    <w:rsid w:val="00236BF6"/>
    <w:rsid w:val="00241948"/>
    <w:rsid w:val="00241FA1"/>
    <w:rsid w:val="00242E69"/>
    <w:rsid w:val="00245CD6"/>
    <w:rsid w:val="002461CA"/>
    <w:rsid w:val="002466F0"/>
    <w:rsid w:val="002469FC"/>
    <w:rsid w:val="00250014"/>
    <w:rsid w:val="002509BD"/>
    <w:rsid w:val="002520FA"/>
    <w:rsid w:val="0025320D"/>
    <w:rsid w:val="00253B4A"/>
    <w:rsid w:val="00255869"/>
    <w:rsid w:val="00261865"/>
    <w:rsid w:val="0026194C"/>
    <w:rsid w:val="00261996"/>
    <w:rsid w:val="00261CBF"/>
    <w:rsid w:val="00262C1B"/>
    <w:rsid w:val="00263F17"/>
    <w:rsid w:val="00266AF5"/>
    <w:rsid w:val="002712EF"/>
    <w:rsid w:val="00271353"/>
    <w:rsid w:val="002716BB"/>
    <w:rsid w:val="00271A18"/>
    <w:rsid w:val="002735C9"/>
    <w:rsid w:val="00273A3D"/>
    <w:rsid w:val="00273FFE"/>
    <w:rsid w:val="0027427B"/>
    <w:rsid w:val="00275BFE"/>
    <w:rsid w:val="00277846"/>
    <w:rsid w:val="00277D08"/>
    <w:rsid w:val="00280004"/>
    <w:rsid w:val="00280EFA"/>
    <w:rsid w:val="00282420"/>
    <w:rsid w:val="00283DF6"/>
    <w:rsid w:val="002845E6"/>
    <w:rsid w:val="00285394"/>
    <w:rsid w:val="00286886"/>
    <w:rsid w:val="00290C13"/>
    <w:rsid w:val="00290CB2"/>
    <w:rsid w:val="00292572"/>
    <w:rsid w:val="00292933"/>
    <w:rsid w:val="00294F98"/>
    <w:rsid w:val="002967F8"/>
    <w:rsid w:val="00296AD4"/>
    <w:rsid w:val="00297EEC"/>
    <w:rsid w:val="002A4698"/>
    <w:rsid w:val="002A4BE9"/>
    <w:rsid w:val="002A663E"/>
    <w:rsid w:val="002B059A"/>
    <w:rsid w:val="002B11B6"/>
    <w:rsid w:val="002B174F"/>
    <w:rsid w:val="002B3011"/>
    <w:rsid w:val="002B3146"/>
    <w:rsid w:val="002B524F"/>
    <w:rsid w:val="002B555D"/>
    <w:rsid w:val="002B6F90"/>
    <w:rsid w:val="002C0399"/>
    <w:rsid w:val="002C401B"/>
    <w:rsid w:val="002C6F2F"/>
    <w:rsid w:val="002C722F"/>
    <w:rsid w:val="002D014D"/>
    <w:rsid w:val="002D06A2"/>
    <w:rsid w:val="002D0724"/>
    <w:rsid w:val="002D0AFC"/>
    <w:rsid w:val="002D14EE"/>
    <w:rsid w:val="002D15BC"/>
    <w:rsid w:val="002D1F06"/>
    <w:rsid w:val="002D2003"/>
    <w:rsid w:val="002D277D"/>
    <w:rsid w:val="002D5F10"/>
    <w:rsid w:val="002D669C"/>
    <w:rsid w:val="002E01EB"/>
    <w:rsid w:val="002E11E3"/>
    <w:rsid w:val="002E1BCB"/>
    <w:rsid w:val="002E1C78"/>
    <w:rsid w:val="002E22C0"/>
    <w:rsid w:val="002E293D"/>
    <w:rsid w:val="002E4142"/>
    <w:rsid w:val="002E551A"/>
    <w:rsid w:val="002E5DDB"/>
    <w:rsid w:val="002E62A3"/>
    <w:rsid w:val="002E6E8C"/>
    <w:rsid w:val="002F177F"/>
    <w:rsid w:val="002F1BC6"/>
    <w:rsid w:val="002F3DAC"/>
    <w:rsid w:val="002F6503"/>
    <w:rsid w:val="002F6CB2"/>
    <w:rsid w:val="002F70F9"/>
    <w:rsid w:val="002F7C03"/>
    <w:rsid w:val="00300B6F"/>
    <w:rsid w:val="0030268E"/>
    <w:rsid w:val="00303BB1"/>
    <w:rsid w:val="00303D50"/>
    <w:rsid w:val="00304049"/>
    <w:rsid w:val="00307871"/>
    <w:rsid w:val="00307B63"/>
    <w:rsid w:val="00311448"/>
    <w:rsid w:val="00312057"/>
    <w:rsid w:val="00312714"/>
    <w:rsid w:val="003132B3"/>
    <w:rsid w:val="00313E91"/>
    <w:rsid w:val="00314187"/>
    <w:rsid w:val="00314412"/>
    <w:rsid w:val="003157B2"/>
    <w:rsid w:val="00320791"/>
    <w:rsid w:val="003241D0"/>
    <w:rsid w:val="00325148"/>
    <w:rsid w:val="003254AB"/>
    <w:rsid w:val="00325920"/>
    <w:rsid w:val="00326F51"/>
    <w:rsid w:val="00327716"/>
    <w:rsid w:val="00327B94"/>
    <w:rsid w:val="00331196"/>
    <w:rsid w:val="00331AFD"/>
    <w:rsid w:val="0033374F"/>
    <w:rsid w:val="003355BD"/>
    <w:rsid w:val="00336027"/>
    <w:rsid w:val="003367DA"/>
    <w:rsid w:val="00336CE9"/>
    <w:rsid w:val="003401AA"/>
    <w:rsid w:val="00341098"/>
    <w:rsid w:val="003427E7"/>
    <w:rsid w:val="0034305D"/>
    <w:rsid w:val="003440F6"/>
    <w:rsid w:val="0034611C"/>
    <w:rsid w:val="003466EB"/>
    <w:rsid w:val="00347104"/>
    <w:rsid w:val="00350D3B"/>
    <w:rsid w:val="00354DF2"/>
    <w:rsid w:val="0035509F"/>
    <w:rsid w:val="00360374"/>
    <w:rsid w:val="0036176E"/>
    <w:rsid w:val="00361E84"/>
    <w:rsid w:val="00361FCC"/>
    <w:rsid w:val="0036317E"/>
    <w:rsid w:val="00363D6F"/>
    <w:rsid w:val="0036462D"/>
    <w:rsid w:val="00365609"/>
    <w:rsid w:val="00365AFF"/>
    <w:rsid w:val="00365C90"/>
    <w:rsid w:val="003670EA"/>
    <w:rsid w:val="003673D4"/>
    <w:rsid w:val="003723D0"/>
    <w:rsid w:val="003729FB"/>
    <w:rsid w:val="00374688"/>
    <w:rsid w:val="00375B8E"/>
    <w:rsid w:val="00376599"/>
    <w:rsid w:val="00376D99"/>
    <w:rsid w:val="00377650"/>
    <w:rsid w:val="00380CE5"/>
    <w:rsid w:val="0038195D"/>
    <w:rsid w:val="00382733"/>
    <w:rsid w:val="00383371"/>
    <w:rsid w:val="0038480C"/>
    <w:rsid w:val="003862CA"/>
    <w:rsid w:val="00386D98"/>
    <w:rsid w:val="003910DB"/>
    <w:rsid w:val="003912D3"/>
    <w:rsid w:val="0039201E"/>
    <w:rsid w:val="003930BB"/>
    <w:rsid w:val="00395FC9"/>
    <w:rsid w:val="00397FA6"/>
    <w:rsid w:val="003A0419"/>
    <w:rsid w:val="003A04AC"/>
    <w:rsid w:val="003A2D9E"/>
    <w:rsid w:val="003A393A"/>
    <w:rsid w:val="003A3EA0"/>
    <w:rsid w:val="003A40DE"/>
    <w:rsid w:val="003A4319"/>
    <w:rsid w:val="003A4C6E"/>
    <w:rsid w:val="003A517F"/>
    <w:rsid w:val="003A59B9"/>
    <w:rsid w:val="003A5E0F"/>
    <w:rsid w:val="003A6220"/>
    <w:rsid w:val="003A6859"/>
    <w:rsid w:val="003A7C14"/>
    <w:rsid w:val="003A7D50"/>
    <w:rsid w:val="003B07D1"/>
    <w:rsid w:val="003B2D33"/>
    <w:rsid w:val="003B4339"/>
    <w:rsid w:val="003B442C"/>
    <w:rsid w:val="003B446E"/>
    <w:rsid w:val="003B4622"/>
    <w:rsid w:val="003B5CDC"/>
    <w:rsid w:val="003B5FE2"/>
    <w:rsid w:val="003B7B0A"/>
    <w:rsid w:val="003C0FA9"/>
    <w:rsid w:val="003C11FE"/>
    <w:rsid w:val="003C1363"/>
    <w:rsid w:val="003C1FD4"/>
    <w:rsid w:val="003C4D2E"/>
    <w:rsid w:val="003C5134"/>
    <w:rsid w:val="003C5913"/>
    <w:rsid w:val="003C5B2F"/>
    <w:rsid w:val="003C7585"/>
    <w:rsid w:val="003C7C1B"/>
    <w:rsid w:val="003D03CC"/>
    <w:rsid w:val="003D0D7F"/>
    <w:rsid w:val="003D0E87"/>
    <w:rsid w:val="003D1467"/>
    <w:rsid w:val="003D1FC0"/>
    <w:rsid w:val="003D33E9"/>
    <w:rsid w:val="003D57DC"/>
    <w:rsid w:val="003D64C7"/>
    <w:rsid w:val="003D7659"/>
    <w:rsid w:val="003E1087"/>
    <w:rsid w:val="003E1D0A"/>
    <w:rsid w:val="003E2310"/>
    <w:rsid w:val="003E2CBB"/>
    <w:rsid w:val="003E4A26"/>
    <w:rsid w:val="003E6A56"/>
    <w:rsid w:val="003F080D"/>
    <w:rsid w:val="003F0B65"/>
    <w:rsid w:val="003F23A8"/>
    <w:rsid w:val="003F4A4A"/>
    <w:rsid w:val="003F4B02"/>
    <w:rsid w:val="003F592E"/>
    <w:rsid w:val="003F6816"/>
    <w:rsid w:val="003F6C62"/>
    <w:rsid w:val="003F7BC4"/>
    <w:rsid w:val="00400050"/>
    <w:rsid w:val="0040021F"/>
    <w:rsid w:val="004002E4"/>
    <w:rsid w:val="004028D8"/>
    <w:rsid w:val="0041001F"/>
    <w:rsid w:val="00411AB8"/>
    <w:rsid w:val="00411BF5"/>
    <w:rsid w:val="00411EDC"/>
    <w:rsid w:val="00412BE8"/>
    <w:rsid w:val="00413A20"/>
    <w:rsid w:val="00417C1D"/>
    <w:rsid w:val="00420A5D"/>
    <w:rsid w:val="00421E08"/>
    <w:rsid w:val="00423320"/>
    <w:rsid w:val="00423742"/>
    <w:rsid w:val="00424EEA"/>
    <w:rsid w:val="004269AF"/>
    <w:rsid w:val="00426A76"/>
    <w:rsid w:val="004278E6"/>
    <w:rsid w:val="00427AE0"/>
    <w:rsid w:val="00427B01"/>
    <w:rsid w:val="00431FED"/>
    <w:rsid w:val="00432878"/>
    <w:rsid w:val="00433DDB"/>
    <w:rsid w:val="00434089"/>
    <w:rsid w:val="0043497E"/>
    <w:rsid w:val="0043507A"/>
    <w:rsid w:val="00435C5B"/>
    <w:rsid w:val="00436095"/>
    <w:rsid w:val="00436E12"/>
    <w:rsid w:val="004400BF"/>
    <w:rsid w:val="00440264"/>
    <w:rsid w:val="00444F7A"/>
    <w:rsid w:val="004451F8"/>
    <w:rsid w:val="0044554A"/>
    <w:rsid w:val="00445847"/>
    <w:rsid w:val="004467ED"/>
    <w:rsid w:val="004511FF"/>
    <w:rsid w:val="0045268D"/>
    <w:rsid w:val="0045517D"/>
    <w:rsid w:val="0045542E"/>
    <w:rsid w:val="0045580C"/>
    <w:rsid w:val="00457045"/>
    <w:rsid w:val="00457090"/>
    <w:rsid w:val="0046057D"/>
    <w:rsid w:val="004615C5"/>
    <w:rsid w:val="00461789"/>
    <w:rsid w:val="00462609"/>
    <w:rsid w:val="0046267C"/>
    <w:rsid w:val="00463B05"/>
    <w:rsid w:val="004646DA"/>
    <w:rsid w:val="00464DA6"/>
    <w:rsid w:val="0046556E"/>
    <w:rsid w:val="0046567C"/>
    <w:rsid w:val="00467B74"/>
    <w:rsid w:val="00470AB1"/>
    <w:rsid w:val="00471DAC"/>
    <w:rsid w:val="0047481C"/>
    <w:rsid w:val="00474D9B"/>
    <w:rsid w:val="00474E6E"/>
    <w:rsid w:val="0047532B"/>
    <w:rsid w:val="004770EF"/>
    <w:rsid w:val="0048051B"/>
    <w:rsid w:val="004866F5"/>
    <w:rsid w:val="00490F82"/>
    <w:rsid w:val="004A1F0F"/>
    <w:rsid w:val="004A33A5"/>
    <w:rsid w:val="004A41EA"/>
    <w:rsid w:val="004A6DA4"/>
    <w:rsid w:val="004A6E40"/>
    <w:rsid w:val="004A7197"/>
    <w:rsid w:val="004A7CE6"/>
    <w:rsid w:val="004B2321"/>
    <w:rsid w:val="004B3AB3"/>
    <w:rsid w:val="004B42FE"/>
    <w:rsid w:val="004B4D77"/>
    <w:rsid w:val="004B6ABB"/>
    <w:rsid w:val="004C01A5"/>
    <w:rsid w:val="004C03D0"/>
    <w:rsid w:val="004C1784"/>
    <w:rsid w:val="004C198C"/>
    <w:rsid w:val="004C22F0"/>
    <w:rsid w:val="004C26AB"/>
    <w:rsid w:val="004C42B1"/>
    <w:rsid w:val="004C7183"/>
    <w:rsid w:val="004C7C2A"/>
    <w:rsid w:val="004D0121"/>
    <w:rsid w:val="004D06DF"/>
    <w:rsid w:val="004D2AB5"/>
    <w:rsid w:val="004D347A"/>
    <w:rsid w:val="004D3539"/>
    <w:rsid w:val="004D4463"/>
    <w:rsid w:val="004D4597"/>
    <w:rsid w:val="004D4F3E"/>
    <w:rsid w:val="004D59E1"/>
    <w:rsid w:val="004D6465"/>
    <w:rsid w:val="004D6655"/>
    <w:rsid w:val="004E15D9"/>
    <w:rsid w:val="004E1D1D"/>
    <w:rsid w:val="004E3D5F"/>
    <w:rsid w:val="004E7CD8"/>
    <w:rsid w:val="004F2B7B"/>
    <w:rsid w:val="004F4725"/>
    <w:rsid w:val="004F68D0"/>
    <w:rsid w:val="004F7736"/>
    <w:rsid w:val="00501EFF"/>
    <w:rsid w:val="005049DD"/>
    <w:rsid w:val="0050626D"/>
    <w:rsid w:val="005062CF"/>
    <w:rsid w:val="00507022"/>
    <w:rsid w:val="005070B6"/>
    <w:rsid w:val="005118A0"/>
    <w:rsid w:val="0051528D"/>
    <w:rsid w:val="00515778"/>
    <w:rsid w:val="00515F80"/>
    <w:rsid w:val="00516163"/>
    <w:rsid w:val="00522359"/>
    <w:rsid w:val="00524799"/>
    <w:rsid w:val="00524D9F"/>
    <w:rsid w:val="00525C73"/>
    <w:rsid w:val="00527147"/>
    <w:rsid w:val="0052738A"/>
    <w:rsid w:val="00527D96"/>
    <w:rsid w:val="0053022C"/>
    <w:rsid w:val="00530E06"/>
    <w:rsid w:val="00530E7B"/>
    <w:rsid w:val="005328D9"/>
    <w:rsid w:val="005335C4"/>
    <w:rsid w:val="00533C65"/>
    <w:rsid w:val="0054085B"/>
    <w:rsid w:val="0054165D"/>
    <w:rsid w:val="00542670"/>
    <w:rsid w:val="00542CBD"/>
    <w:rsid w:val="0054332E"/>
    <w:rsid w:val="00543F17"/>
    <w:rsid w:val="00544E11"/>
    <w:rsid w:val="00544E8C"/>
    <w:rsid w:val="00547DFC"/>
    <w:rsid w:val="00550EF5"/>
    <w:rsid w:val="005510DB"/>
    <w:rsid w:val="0055132C"/>
    <w:rsid w:val="00553230"/>
    <w:rsid w:val="00553AC2"/>
    <w:rsid w:val="005540CF"/>
    <w:rsid w:val="005543E1"/>
    <w:rsid w:val="005548C4"/>
    <w:rsid w:val="00556E7B"/>
    <w:rsid w:val="005574F4"/>
    <w:rsid w:val="00560544"/>
    <w:rsid w:val="00562B4B"/>
    <w:rsid w:val="0056437C"/>
    <w:rsid w:val="00565603"/>
    <w:rsid w:val="00565624"/>
    <w:rsid w:val="005661A8"/>
    <w:rsid w:val="00566331"/>
    <w:rsid w:val="00572B99"/>
    <w:rsid w:val="00572CA6"/>
    <w:rsid w:val="00574594"/>
    <w:rsid w:val="00574667"/>
    <w:rsid w:val="0057518F"/>
    <w:rsid w:val="00575450"/>
    <w:rsid w:val="00576A0A"/>
    <w:rsid w:val="00576CC8"/>
    <w:rsid w:val="00577E02"/>
    <w:rsid w:val="00582115"/>
    <w:rsid w:val="00582168"/>
    <w:rsid w:val="00583631"/>
    <w:rsid w:val="00584006"/>
    <w:rsid w:val="00584389"/>
    <w:rsid w:val="005847DE"/>
    <w:rsid w:val="00585678"/>
    <w:rsid w:val="00585F09"/>
    <w:rsid w:val="00585F7D"/>
    <w:rsid w:val="00590C22"/>
    <w:rsid w:val="005911B2"/>
    <w:rsid w:val="005934D4"/>
    <w:rsid w:val="00593821"/>
    <w:rsid w:val="00594728"/>
    <w:rsid w:val="00594C20"/>
    <w:rsid w:val="00595257"/>
    <w:rsid w:val="005963F1"/>
    <w:rsid w:val="00596C9D"/>
    <w:rsid w:val="005971A7"/>
    <w:rsid w:val="00597796"/>
    <w:rsid w:val="005A10E7"/>
    <w:rsid w:val="005A3479"/>
    <w:rsid w:val="005A527F"/>
    <w:rsid w:val="005A71D7"/>
    <w:rsid w:val="005B0010"/>
    <w:rsid w:val="005B215A"/>
    <w:rsid w:val="005B2D11"/>
    <w:rsid w:val="005B5811"/>
    <w:rsid w:val="005C03AF"/>
    <w:rsid w:val="005C337A"/>
    <w:rsid w:val="005C40C0"/>
    <w:rsid w:val="005C4E08"/>
    <w:rsid w:val="005D18F8"/>
    <w:rsid w:val="005D2900"/>
    <w:rsid w:val="005D3C8F"/>
    <w:rsid w:val="005D488C"/>
    <w:rsid w:val="005D6500"/>
    <w:rsid w:val="005D6535"/>
    <w:rsid w:val="005D7470"/>
    <w:rsid w:val="005D777C"/>
    <w:rsid w:val="005E02E6"/>
    <w:rsid w:val="005E0FED"/>
    <w:rsid w:val="005E15F5"/>
    <w:rsid w:val="005E1938"/>
    <w:rsid w:val="005E1B50"/>
    <w:rsid w:val="005E1BE2"/>
    <w:rsid w:val="005E2B31"/>
    <w:rsid w:val="005E3B7C"/>
    <w:rsid w:val="005E5FF4"/>
    <w:rsid w:val="005E6DB1"/>
    <w:rsid w:val="005E7B9A"/>
    <w:rsid w:val="005F0929"/>
    <w:rsid w:val="005F0D61"/>
    <w:rsid w:val="005F132F"/>
    <w:rsid w:val="005F1731"/>
    <w:rsid w:val="005F1D14"/>
    <w:rsid w:val="005F3C35"/>
    <w:rsid w:val="005F4318"/>
    <w:rsid w:val="005F538F"/>
    <w:rsid w:val="005F660A"/>
    <w:rsid w:val="005F72BD"/>
    <w:rsid w:val="006002DD"/>
    <w:rsid w:val="006006E9"/>
    <w:rsid w:val="006014A1"/>
    <w:rsid w:val="00603532"/>
    <w:rsid w:val="00603B1B"/>
    <w:rsid w:val="00604359"/>
    <w:rsid w:val="00604B97"/>
    <w:rsid w:val="00605E1E"/>
    <w:rsid w:val="00607E30"/>
    <w:rsid w:val="00610BE0"/>
    <w:rsid w:val="006110FA"/>
    <w:rsid w:val="006122C3"/>
    <w:rsid w:val="00613818"/>
    <w:rsid w:val="00613E53"/>
    <w:rsid w:val="0061555D"/>
    <w:rsid w:val="00615F07"/>
    <w:rsid w:val="00616D8D"/>
    <w:rsid w:val="00616E0E"/>
    <w:rsid w:val="00617AB0"/>
    <w:rsid w:val="006240E9"/>
    <w:rsid w:val="006244E0"/>
    <w:rsid w:val="00626692"/>
    <w:rsid w:val="00627E7C"/>
    <w:rsid w:val="006304E3"/>
    <w:rsid w:val="00630644"/>
    <w:rsid w:val="0063081E"/>
    <w:rsid w:val="00630BAC"/>
    <w:rsid w:val="00631D02"/>
    <w:rsid w:val="00631E3D"/>
    <w:rsid w:val="006331C2"/>
    <w:rsid w:val="006348BF"/>
    <w:rsid w:val="00636F5C"/>
    <w:rsid w:val="00637FF6"/>
    <w:rsid w:val="00640043"/>
    <w:rsid w:val="00640EFA"/>
    <w:rsid w:val="006421CE"/>
    <w:rsid w:val="00642490"/>
    <w:rsid w:val="00642CA4"/>
    <w:rsid w:val="00643957"/>
    <w:rsid w:val="00644AE8"/>
    <w:rsid w:val="00644C2F"/>
    <w:rsid w:val="00644F62"/>
    <w:rsid w:val="00645665"/>
    <w:rsid w:val="00646155"/>
    <w:rsid w:val="00646845"/>
    <w:rsid w:val="00647B57"/>
    <w:rsid w:val="006542F8"/>
    <w:rsid w:val="00655B9B"/>
    <w:rsid w:val="00655FF3"/>
    <w:rsid w:val="00657695"/>
    <w:rsid w:val="00657B89"/>
    <w:rsid w:val="00660F41"/>
    <w:rsid w:val="00661C1F"/>
    <w:rsid w:val="00662C85"/>
    <w:rsid w:val="0066536D"/>
    <w:rsid w:val="006655EA"/>
    <w:rsid w:val="006666CC"/>
    <w:rsid w:val="00667EBE"/>
    <w:rsid w:val="00670ED1"/>
    <w:rsid w:val="00674111"/>
    <w:rsid w:val="00676FBB"/>
    <w:rsid w:val="00677261"/>
    <w:rsid w:val="006773EC"/>
    <w:rsid w:val="00680054"/>
    <w:rsid w:val="006811A8"/>
    <w:rsid w:val="0068231D"/>
    <w:rsid w:val="006823C1"/>
    <w:rsid w:val="00683DBA"/>
    <w:rsid w:val="00684342"/>
    <w:rsid w:val="006845DC"/>
    <w:rsid w:val="00684D03"/>
    <w:rsid w:val="006859E2"/>
    <w:rsid w:val="00686439"/>
    <w:rsid w:val="00686D53"/>
    <w:rsid w:val="00687060"/>
    <w:rsid w:val="0068707F"/>
    <w:rsid w:val="00687BD1"/>
    <w:rsid w:val="0069078F"/>
    <w:rsid w:val="00691461"/>
    <w:rsid w:val="00692734"/>
    <w:rsid w:val="0069299A"/>
    <w:rsid w:val="006933B1"/>
    <w:rsid w:val="006958F6"/>
    <w:rsid w:val="006965AF"/>
    <w:rsid w:val="00697F8C"/>
    <w:rsid w:val="006A091E"/>
    <w:rsid w:val="006A0955"/>
    <w:rsid w:val="006A12A4"/>
    <w:rsid w:val="006A165D"/>
    <w:rsid w:val="006A321F"/>
    <w:rsid w:val="006A38A6"/>
    <w:rsid w:val="006A3965"/>
    <w:rsid w:val="006A7CCB"/>
    <w:rsid w:val="006A7D95"/>
    <w:rsid w:val="006B0AD1"/>
    <w:rsid w:val="006B15E3"/>
    <w:rsid w:val="006B2AAA"/>
    <w:rsid w:val="006B2F99"/>
    <w:rsid w:val="006B5D2A"/>
    <w:rsid w:val="006B5D75"/>
    <w:rsid w:val="006B5E25"/>
    <w:rsid w:val="006B651A"/>
    <w:rsid w:val="006B700C"/>
    <w:rsid w:val="006B75C2"/>
    <w:rsid w:val="006B75F5"/>
    <w:rsid w:val="006B7BE9"/>
    <w:rsid w:val="006B7DFB"/>
    <w:rsid w:val="006C0CA3"/>
    <w:rsid w:val="006C1319"/>
    <w:rsid w:val="006C3C24"/>
    <w:rsid w:val="006C5F72"/>
    <w:rsid w:val="006C6712"/>
    <w:rsid w:val="006C7B5D"/>
    <w:rsid w:val="006C7BBE"/>
    <w:rsid w:val="006C7BCA"/>
    <w:rsid w:val="006D0222"/>
    <w:rsid w:val="006D09B9"/>
    <w:rsid w:val="006D11A6"/>
    <w:rsid w:val="006D2082"/>
    <w:rsid w:val="006D28D1"/>
    <w:rsid w:val="006D2CB1"/>
    <w:rsid w:val="006D4290"/>
    <w:rsid w:val="006D431E"/>
    <w:rsid w:val="006D5079"/>
    <w:rsid w:val="006D61B3"/>
    <w:rsid w:val="006D7F14"/>
    <w:rsid w:val="006E0BF0"/>
    <w:rsid w:val="006E1769"/>
    <w:rsid w:val="006E3966"/>
    <w:rsid w:val="006E3989"/>
    <w:rsid w:val="006E4379"/>
    <w:rsid w:val="006F06DD"/>
    <w:rsid w:val="006F07A1"/>
    <w:rsid w:val="006F0B61"/>
    <w:rsid w:val="006F24EF"/>
    <w:rsid w:val="006F2657"/>
    <w:rsid w:val="006F314C"/>
    <w:rsid w:val="006F5077"/>
    <w:rsid w:val="006F5B17"/>
    <w:rsid w:val="006F6231"/>
    <w:rsid w:val="006F6B51"/>
    <w:rsid w:val="006F6F4B"/>
    <w:rsid w:val="00700B16"/>
    <w:rsid w:val="0070114F"/>
    <w:rsid w:val="0070128F"/>
    <w:rsid w:val="00702BCC"/>
    <w:rsid w:val="007031B0"/>
    <w:rsid w:val="00704286"/>
    <w:rsid w:val="0070573A"/>
    <w:rsid w:val="00707E2B"/>
    <w:rsid w:val="00711D1C"/>
    <w:rsid w:val="00712A94"/>
    <w:rsid w:val="0071416B"/>
    <w:rsid w:val="00715E70"/>
    <w:rsid w:val="00716AAA"/>
    <w:rsid w:val="00720061"/>
    <w:rsid w:val="007201FB"/>
    <w:rsid w:val="00721CC3"/>
    <w:rsid w:val="00721F54"/>
    <w:rsid w:val="00722375"/>
    <w:rsid w:val="00726421"/>
    <w:rsid w:val="00727074"/>
    <w:rsid w:val="00727709"/>
    <w:rsid w:val="00727F6F"/>
    <w:rsid w:val="007300E2"/>
    <w:rsid w:val="0073069A"/>
    <w:rsid w:val="00731775"/>
    <w:rsid w:val="00731D9C"/>
    <w:rsid w:val="007340C2"/>
    <w:rsid w:val="00734CB3"/>
    <w:rsid w:val="0073503E"/>
    <w:rsid w:val="00740D41"/>
    <w:rsid w:val="007434F4"/>
    <w:rsid w:val="0074395D"/>
    <w:rsid w:val="007444D5"/>
    <w:rsid w:val="00746221"/>
    <w:rsid w:val="00746278"/>
    <w:rsid w:val="00747015"/>
    <w:rsid w:val="00750664"/>
    <w:rsid w:val="007508A3"/>
    <w:rsid w:val="007508C7"/>
    <w:rsid w:val="00750F37"/>
    <w:rsid w:val="0075227F"/>
    <w:rsid w:val="007541C1"/>
    <w:rsid w:val="007551CF"/>
    <w:rsid w:val="00755390"/>
    <w:rsid w:val="007553FE"/>
    <w:rsid w:val="007559E3"/>
    <w:rsid w:val="00761786"/>
    <w:rsid w:val="007636BC"/>
    <w:rsid w:val="00763777"/>
    <w:rsid w:val="007639AC"/>
    <w:rsid w:val="00763D75"/>
    <w:rsid w:val="0076588F"/>
    <w:rsid w:val="00766545"/>
    <w:rsid w:val="00771F2D"/>
    <w:rsid w:val="00773115"/>
    <w:rsid w:val="00773F42"/>
    <w:rsid w:val="00775243"/>
    <w:rsid w:val="0077684F"/>
    <w:rsid w:val="007806D2"/>
    <w:rsid w:val="0078105E"/>
    <w:rsid w:val="00781090"/>
    <w:rsid w:val="0078157E"/>
    <w:rsid w:val="007817AA"/>
    <w:rsid w:val="007829BD"/>
    <w:rsid w:val="007834DF"/>
    <w:rsid w:val="00786E28"/>
    <w:rsid w:val="00787AFC"/>
    <w:rsid w:val="00793B1A"/>
    <w:rsid w:val="00795E21"/>
    <w:rsid w:val="00797295"/>
    <w:rsid w:val="0079753B"/>
    <w:rsid w:val="00797578"/>
    <w:rsid w:val="00797649"/>
    <w:rsid w:val="007A2F87"/>
    <w:rsid w:val="007A3AFE"/>
    <w:rsid w:val="007A4FCF"/>
    <w:rsid w:val="007A536B"/>
    <w:rsid w:val="007B0024"/>
    <w:rsid w:val="007B2BF8"/>
    <w:rsid w:val="007B4C23"/>
    <w:rsid w:val="007B6160"/>
    <w:rsid w:val="007C08E7"/>
    <w:rsid w:val="007C0905"/>
    <w:rsid w:val="007C1133"/>
    <w:rsid w:val="007C3744"/>
    <w:rsid w:val="007C7C20"/>
    <w:rsid w:val="007C7EF5"/>
    <w:rsid w:val="007D234D"/>
    <w:rsid w:val="007D251C"/>
    <w:rsid w:val="007D3CF0"/>
    <w:rsid w:val="007D3EE1"/>
    <w:rsid w:val="007D4621"/>
    <w:rsid w:val="007D4FC4"/>
    <w:rsid w:val="007D5C42"/>
    <w:rsid w:val="007E08DD"/>
    <w:rsid w:val="007E0C73"/>
    <w:rsid w:val="007E1BE0"/>
    <w:rsid w:val="007E3601"/>
    <w:rsid w:val="007E3887"/>
    <w:rsid w:val="007E3C54"/>
    <w:rsid w:val="007E6028"/>
    <w:rsid w:val="007E7720"/>
    <w:rsid w:val="007E7EA6"/>
    <w:rsid w:val="007F2B11"/>
    <w:rsid w:val="007F3662"/>
    <w:rsid w:val="007F4D58"/>
    <w:rsid w:val="007F5C11"/>
    <w:rsid w:val="007F6CFB"/>
    <w:rsid w:val="007F6F36"/>
    <w:rsid w:val="00800CA8"/>
    <w:rsid w:val="00801590"/>
    <w:rsid w:val="00802E1C"/>
    <w:rsid w:val="008037B6"/>
    <w:rsid w:val="008041EA"/>
    <w:rsid w:val="008057FE"/>
    <w:rsid w:val="00805F15"/>
    <w:rsid w:val="0080644F"/>
    <w:rsid w:val="0080745F"/>
    <w:rsid w:val="008078C2"/>
    <w:rsid w:val="00811934"/>
    <w:rsid w:val="00812741"/>
    <w:rsid w:val="00814FC2"/>
    <w:rsid w:val="00815BE7"/>
    <w:rsid w:val="00815FBB"/>
    <w:rsid w:val="008204D2"/>
    <w:rsid w:val="00821D6D"/>
    <w:rsid w:val="008246ED"/>
    <w:rsid w:val="00824BE6"/>
    <w:rsid w:val="00826FE8"/>
    <w:rsid w:val="0083032D"/>
    <w:rsid w:val="00830F19"/>
    <w:rsid w:val="008320D3"/>
    <w:rsid w:val="0083276A"/>
    <w:rsid w:val="008329AC"/>
    <w:rsid w:val="00833039"/>
    <w:rsid w:val="00833B81"/>
    <w:rsid w:val="00833C23"/>
    <w:rsid w:val="00833F72"/>
    <w:rsid w:val="00834952"/>
    <w:rsid w:val="008359CC"/>
    <w:rsid w:val="0083734A"/>
    <w:rsid w:val="00837D95"/>
    <w:rsid w:val="00840B2F"/>
    <w:rsid w:val="00841F36"/>
    <w:rsid w:val="00844684"/>
    <w:rsid w:val="00844894"/>
    <w:rsid w:val="00846664"/>
    <w:rsid w:val="00851149"/>
    <w:rsid w:val="00852890"/>
    <w:rsid w:val="008535F2"/>
    <w:rsid w:val="00854371"/>
    <w:rsid w:val="00855293"/>
    <w:rsid w:val="00856E23"/>
    <w:rsid w:val="00857D03"/>
    <w:rsid w:val="0086107C"/>
    <w:rsid w:val="0086114B"/>
    <w:rsid w:val="00861568"/>
    <w:rsid w:val="00861A31"/>
    <w:rsid w:val="00861B7D"/>
    <w:rsid w:val="00862464"/>
    <w:rsid w:val="008625D1"/>
    <w:rsid w:val="00863DD8"/>
    <w:rsid w:val="00863E43"/>
    <w:rsid w:val="00865C15"/>
    <w:rsid w:val="008661BA"/>
    <w:rsid w:val="0086686C"/>
    <w:rsid w:val="008677B5"/>
    <w:rsid w:val="00871243"/>
    <w:rsid w:val="00871861"/>
    <w:rsid w:val="00871F59"/>
    <w:rsid w:val="00871F94"/>
    <w:rsid w:val="008728E2"/>
    <w:rsid w:val="00872C51"/>
    <w:rsid w:val="00872F96"/>
    <w:rsid w:val="00873339"/>
    <w:rsid w:val="00875EAC"/>
    <w:rsid w:val="00880881"/>
    <w:rsid w:val="0088168E"/>
    <w:rsid w:val="00882CFD"/>
    <w:rsid w:val="0088591E"/>
    <w:rsid w:val="00886D33"/>
    <w:rsid w:val="0089015D"/>
    <w:rsid w:val="00890798"/>
    <w:rsid w:val="0089103A"/>
    <w:rsid w:val="00894B2C"/>
    <w:rsid w:val="00894F18"/>
    <w:rsid w:val="00895E05"/>
    <w:rsid w:val="008965AA"/>
    <w:rsid w:val="0089767A"/>
    <w:rsid w:val="00897B09"/>
    <w:rsid w:val="008A01ED"/>
    <w:rsid w:val="008A1985"/>
    <w:rsid w:val="008A1C35"/>
    <w:rsid w:val="008A282C"/>
    <w:rsid w:val="008A2BED"/>
    <w:rsid w:val="008A3008"/>
    <w:rsid w:val="008A31E4"/>
    <w:rsid w:val="008A3B0E"/>
    <w:rsid w:val="008A4250"/>
    <w:rsid w:val="008A4E79"/>
    <w:rsid w:val="008A5239"/>
    <w:rsid w:val="008A7389"/>
    <w:rsid w:val="008B032B"/>
    <w:rsid w:val="008B0666"/>
    <w:rsid w:val="008B14E7"/>
    <w:rsid w:val="008B56D2"/>
    <w:rsid w:val="008B5902"/>
    <w:rsid w:val="008C0BA6"/>
    <w:rsid w:val="008C1C93"/>
    <w:rsid w:val="008C3455"/>
    <w:rsid w:val="008C3A6C"/>
    <w:rsid w:val="008C53C7"/>
    <w:rsid w:val="008C5ED1"/>
    <w:rsid w:val="008C6E4B"/>
    <w:rsid w:val="008D447C"/>
    <w:rsid w:val="008D4AD5"/>
    <w:rsid w:val="008D4E07"/>
    <w:rsid w:val="008D5758"/>
    <w:rsid w:val="008D7F16"/>
    <w:rsid w:val="008E1CBF"/>
    <w:rsid w:val="008E2930"/>
    <w:rsid w:val="008E2CEB"/>
    <w:rsid w:val="008E68A9"/>
    <w:rsid w:val="008E75D3"/>
    <w:rsid w:val="008E7AB9"/>
    <w:rsid w:val="008E7D7B"/>
    <w:rsid w:val="008E7F71"/>
    <w:rsid w:val="008F1C3B"/>
    <w:rsid w:val="008F20CA"/>
    <w:rsid w:val="008F38F5"/>
    <w:rsid w:val="008F4101"/>
    <w:rsid w:val="008F6779"/>
    <w:rsid w:val="00900241"/>
    <w:rsid w:val="0090271A"/>
    <w:rsid w:val="009063A4"/>
    <w:rsid w:val="00911054"/>
    <w:rsid w:val="00912F7B"/>
    <w:rsid w:val="009136DC"/>
    <w:rsid w:val="00915CD9"/>
    <w:rsid w:val="00915EDF"/>
    <w:rsid w:val="00916262"/>
    <w:rsid w:val="00917233"/>
    <w:rsid w:val="0092160F"/>
    <w:rsid w:val="0092185A"/>
    <w:rsid w:val="00922105"/>
    <w:rsid w:val="0092276B"/>
    <w:rsid w:val="009228DC"/>
    <w:rsid w:val="00922D0F"/>
    <w:rsid w:val="00923B7B"/>
    <w:rsid w:val="00925EA6"/>
    <w:rsid w:val="009269BC"/>
    <w:rsid w:val="00927579"/>
    <w:rsid w:val="00930CAD"/>
    <w:rsid w:val="009312DF"/>
    <w:rsid w:val="00931A82"/>
    <w:rsid w:val="009331A6"/>
    <w:rsid w:val="00933261"/>
    <w:rsid w:val="00933707"/>
    <w:rsid w:val="00934CBD"/>
    <w:rsid w:val="00940CC6"/>
    <w:rsid w:val="00941ECA"/>
    <w:rsid w:val="009420C2"/>
    <w:rsid w:val="009426F1"/>
    <w:rsid w:val="00942F9E"/>
    <w:rsid w:val="00944001"/>
    <w:rsid w:val="009447E3"/>
    <w:rsid w:val="00944BA1"/>
    <w:rsid w:val="00945207"/>
    <w:rsid w:val="00945738"/>
    <w:rsid w:val="0094643F"/>
    <w:rsid w:val="00946591"/>
    <w:rsid w:val="00946844"/>
    <w:rsid w:val="00950811"/>
    <w:rsid w:val="00951426"/>
    <w:rsid w:val="00952346"/>
    <w:rsid w:val="00952EA8"/>
    <w:rsid w:val="00954AA6"/>
    <w:rsid w:val="009551C1"/>
    <w:rsid w:val="00956C13"/>
    <w:rsid w:val="0096005F"/>
    <w:rsid w:val="009604AB"/>
    <w:rsid w:val="00964C12"/>
    <w:rsid w:val="009651A8"/>
    <w:rsid w:val="009657E1"/>
    <w:rsid w:val="009662FF"/>
    <w:rsid w:val="00966D86"/>
    <w:rsid w:val="00967B1A"/>
    <w:rsid w:val="0097138C"/>
    <w:rsid w:val="00974258"/>
    <w:rsid w:val="0097442C"/>
    <w:rsid w:val="009744CC"/>
    <w:rsid w:val="009748B1"/>
    <w:rsid w:val="009748EB"/>
    <w:rsid w:val="009749E7"/>
    <w:rsid w:val="00974C86"/>
    <w:rsid w:val="009819DA"/>
    <w:rsid w:val="009821E0"/>
    <w:rsid w:val="00983134"/>
    <w:rsid w:val="009839CA"/>
    <w:rsid w:val="0098411D"/>
    <w:rsid w:val="00985E3D"/>
    <w:rsid w:val="00986ACB"/>
    <w:rsid w:val="00987171"/>
    <w:rsid w:val="00990F7A"/>
    <w:rsid w:val="0099322B"/>
    <w:rsid w:val="00994CC1"/>
    <w:rsid w:val="009973C6"/>
    <w:rsid w:val="009A0926"/>
    <w:rsid w:val="009A2AC9"/>
    <w:rsid w:val="009A42D0"/>
    <w:rsid w:val="009A5280"/>
    <w:rsid w:val="009A5290"/>
    <w:rsid w:val="009A590B"/>
    <w:rsid w:val="009A59F9"/>
    <w:rsid w:val="009A70DF"/>
    <w:rsid w:val="009B1384"/>
    <w:rsid w:val="009B175F"/>
    <w:rsid w:val="009B321A"/>
    <w:rsid w:val="009B3589"/>
    <w:rsid w:val="009B397F"/>
    <w:rsid w:val="009B3987"/>
    <w:rsid w:val="009B3D8E"/>
    <w:rsid w:val="009B3FDA"/>
    <w:rsid w:val="009B5B7E"/>
    <w:rsid w:val="009B7479"/>
    <w:rsid w:val="009C0221"/>
    <w:rsid w:val="009C02ED"/>
    <w:rsid w:val="009C16E8"/>
    <w:rsid w:val="009C37B0"/>
    <w:rsid w:val="009C3E5D"/>
    <w:rsid w:val="009C4F43"/>
    <w:rsid w:val="009C55A7"/>
    <w:rsid w:val="009C7378"/>
    <w:rsid w:val="009D1689"/>
    <w:rsid w:val="009D4D6E"/>
    <w:rsid w:val="009D6432"/>
    <w:rsid w:val="009D7275"/>
    <w:rsid w:val="009D7412"/>
    <w:rsid w:val="009E0076"/>
    <w:rsid w:val="009E0348"/>
    <w:rsid w:val="009E0A1C"/>
    <w:rsid w:val="009E58D2"/>
    <w:rsid w:val="009E6118"/>
    <w:rsid w:val="009E6FBC"/>
    <w:rsid w:val="009E7F96"/>
    <w:rsid w:val="009F0264"/>
    <w:rsid w:val="009F07DF"/>
    <w:rsid w:val="009F0AA6"/>
    <w:rsid w:val="009F1FE6"/>
    <w:rsid w:val="009F2027"/>
    <w:rsid w:val="009F5DB7"/>
    <w:rsid w:val="009F60D3"/>
    <w:rsid w:val="009F7053"/>
    <w:rsid w:val="009F7428"/>
    <w:rsid w:val="009F7866"/>
    <w:rsid w:val="009F7A5C"/>
    <w:rsid w:val="00A0171D"/>
    <w:rsid w:val="00A017D7"/>
    <w:rsid w:val="00A0236D"/>
    <w:rsid w:val="00A02F16"/>
    <w:rsid w:val="00A02F59"/>
    <w:rsid w:val="00A031EB"/>
    <w:rsid w:val="00A03EC1"/>
    <w:rsid w:val="00A06540"/>
    <w:rsid w:val="00A1048F"/>
    <w:rsid w:val="00A11628"/>
    <w:rsid w:val="00A13EED"/>
    <w:rsid w:val="00A140E8"/>
    <w:rsid w:val="00A14EDF"/>
    <w:rsid w:val="00A15140"/>
    <w:rsid w:val="00A157F4"/>
    <w:rsid w:val="00A15AA6"/>
    <w:rsid w:val="00A169EC"/>
    <w:rsid w:val="00A172F9"/>
    <w:rsid w:val="00A20805"/>
    <w:rsid w:val="00A239E1"/>
    <w:rsid w:val="00A23F90"/>
    <w:rsid w:val="00A249B5"/>
    <w:rsid w:val="00A25489"/>
    <w:rsid w:val="00A25712"/>
    <w:rsid w:val="00A25E6B"/>
    <w:rsid w:val="00A26AE6"/>
    <w:rsid w:val="00A300B1"/>
    <w:rsid w:val="00A307EA"/>
    <w:rsid w:val="00A30A75"/>
    <w:rsid w:val="00A32486"/>
    <w:rsid w:val="00A33901"/>
    <w:rsid w:val="00A34C9E"/>
    <w:rsid w:val="00A350D9"/>
    <w:rsid w:val="00A362C3"/>
    <w:rsid w:val="00A365CC"/>
    <w:rsid w:val="00A37851"/>
    <w:rsid w:val="00A40093"/>
    <w:rsid w:val="00A40F0A"/>
    <w:rsid w:val="00A41014"/>
    <w:rsid w:val="00A4102B"/>
    <w:rsid w:val="00A41947"/>
    <w:rsid w:val="00A41EA1"/>
    <w:rsid w:val="00A420A8"/>
    <w:rsid w:val="00A42E11"/>
    <w:rsid w:val="00A43D72"/>
    <w:rsid w:val="00A43F5C"/>
    <w:rsid w:val="00A4459A"/>
    <w:rsid w:val="00A44F92"/>
    <w:rsid w:val="00A46CD2"/>
    <w:rsid w:val="00A4728E"/>
    <w:rsid w:val="00A47353"/>
    <w:rsid w:val="00A47E28"/>
    <w:rsid w:val="00A509BC"/>
    <w:rsid w:val="00A510C1"/>
    <w:rsid w:val="00A521F8"/>
    <w:rsid w:val="00A52FC6"/>
    <w:rsid w:val="00A541D4"/>
    <w:rsid w:val="00A54F1D"/>
    <w:rsid w:val="00A57F2A"/>
    <w:rsid w:val="00A61ABC"/>
    <w:rsid w:val="00A62778"/>
    <w:rsid w:val="00A62FDD"/>
    <w:rsid w:val="00A63B0E"/>
    <w:rsid w:val="00A64A55"/>
    <w:rsid w:val="00A64D5C"/>
    <w:rsid w:val="00A65A71"/>
    <w:rsid w:val="00A67B95"/>
    <w:rsid w:val="00A67BB6"/>
    <w:rsid w:val="00A710A8"/>
    <w:rsid w:val="00A725B6"/>
    <w:rsid w:val="00A72E0D"/>
    <w:rsid w:val="00A73EDF"/>
    <w:rsid w:val="00A77BC9"/>
    <w:rsid w:val="00A8024C"/>
    <w:rsid w:val="00A82105"/>
    <w:rsid w:val="00A8238E"/>
    <w:rsid w:val="00A82A2A"/>
    <w:rsid w:val="00A82D2E"/>
    <w:rsid w:val="00A83356"/>
    <w:rsid w:val="00A83369"/>
    <w:rsid w:val="00A837C7"/>
    <w:rsid w:val="00A85611"/>
    <w:rsid w:val="00A87617"/>
    <w:rsid w:val="00A87F6C"/>
    <w:rsid w:val="00A92FAA"/>
    <w:rsid w:val="00A934A8"/>
    <w:rsid w:val="00A9370C"/>
    <w:rsid w:val="00A9390E"/>
    <w:rsid w:val="00A94D27"/>
    <w:rsid w:val="00A9512C"/>
    <w:rsid w:val="00A952B5"/>
    <w:rsid w:val="00A953B4"/>
    <w:rsid w:val="00A970DE"/>
    <w:rsid w:val="00A9729E"/>
    <w:rsid w:val="00AA0920"/>
    <w:rsid w:val="00AA1404"/>
    <w:rsid w:val="00AA1A15"/>
    <w:rsid w:val="00AA2CDB"/>
    <w:rsid w:val="00AA35E9"/>
    <w:rsid w:val="00AA3A65"/>
    <w:rsid w:val="00AA4079"/>
    <w:rsid w:val="00AB20A9"/>
    <w:rsid w:val="00AB2360"/>
    <w:rsid w:val="00AB29C7"/>
    <w:rsid w:val="00AB3362"/>
    <w:rsid w:val="00AB4129"/>
    <w:rsid w:val="00AB6EDA"/>
    <w:rsid w:val="00AB7245"/>
    <w:rsid w:val="00AB7DEB"/>
    <w:rsid w:val="00AC0D69"/>
    <w:rsid w:val="00AC2429"/>
    <w:rsid w:val="00AC30B7"/>
    <w:rsid w:val="00AC3BCF"/>
    <w:rsid w:val="00AC4C9D"/>
    <w:rsid w:val="00AC5D43"/>
    <w:rsid w:val="00AC5F29"/>
    <w:rsid w:val="00AD032A"/>
    <w:rsid w:val="00AD0BC7"/>
    <w:rsid w:val="00AD0D35"/>
    <w:rsid w:val="00AD1FF6"/>
    <w:rsid w:val="00AD3A8D"/>
    <w:rsid w:val="00AD6CCD"/>
    <w:rsid w:val="00AD7012"/>
    <w:rsid w:val="00AD73C8"/>
    <w:rsid w:val="00AD7CAA"/>
    <w:rsid w:val="00AE32B6"/>
    <w:rsid w:val="00AE330A"/>
    <w:rsid w:val="00AE3837"/>
    <w:rsid w:val="00AE54A7"/>
    <w:rsid w:val="00AE5917"/>
    <w:rsid w:val="00AE61C5"/>
    <w:rsid w:val="00AE6732"/>
    <w:rsid w:val="00AE68B3"/>
    <w:rsid w:val="00AE7108"/>
    <w:rsid w:val="00AF042E"/>
    <w:rsid w:val="00AF0541"/>
    <w:rsid w:val="00AF23C3"/>
    <w:rsid w:val="00AF3CFB"/>
    <w:rsid w:val="00AF4C4E"/>
    <w:rsid w:val="00AF5684"/>
    <w:rsid w:val="00AF6AA0"/>
    <w:rsid w:val="00AF727C"/>
    <w:rsid w:val="00AF7738"/>
    <w:rsid w:val="00B013AF"/>
    <w:rsid w:val="00B02243"/>
    <w:rsid w:val="00B0272A"/>
    <w:rsid w:val="00B027A7"/>
    <w:rsid w:val="00B02DD4"/>
    <w:rsid w:val="00B02DD7"/>
    <w:rsid w:val="00B03192"/>
    <w:rsid w:val="00B04D84"/>
    <w:rsid w:val="00B05B2A"/>
    <w:rsid w:val="00B06D2E"/>
    <w:rsid w:val="00B13138"/>
    <w:rsid w:val="00B13797"/>
    <w:rsid w:val="00B1560A"/>
    <w:rsid w:val="00B1581A"/>
    <w:rsid w:val="00B16103"/>
    <w:rsid w:val="00B16AFB"/>
    <w:rsid w:val="00B17F62"/>
    <w:rsid w:val="00B20693"/>
    <w:rsid w:val="00B232B7"/>
    <w:rsid w:val="00B23710"/>
    <w:rsid w:val="00B249E2"/>
    <w:rsid w:val="00B256D2"/>
    <w:rsid w:val="00B26570"/>
    <w:rsid w:val="00B26DEB"/>
    <w:rsid w:val="00B26F3C"/>
    <w:rsid w:val="00B27964"/>
    <w:rsid w:val="00B30CA4"/>
    <w:rsid w:val="00B33FE7"/>
    <w:rsid w:val="00B340EF"/>
    <w:rsid w:val="00B3676C"/>
    <w:rsid w:val="00B4039E"/>
    <w:rsid w:val="00B41C29"/>
    <w:rsid w:val="00B424A9"/>
    <w:rsid w:val="00B42E82"/>
    <w:rsid w:val="00B430A8"/>
    <w:rsid w:val="00B4427E"/>
    <w:rsid w:val="00B44664"/>
    <w:rsid w:val="00B44EF3"/>
    <w:rsid w:val="00B45A2D"/>
    <w:rsid w:val="00B4637B"/>
    <w:rsid w:val="00B4683D"/>
    <w:rsid w:val="00B46C3D"/>
    <w:rsid w:val="00B471A0"/>
    <w:rsid w:val="00B50C2F"/>
    <w:rsid w:val="00B51102"/>
    <w:rsid w:val="00B51259"/>
    <w:rsid w:val="00B51BB1"/>
    <w:rsid w:val="00B52AF7"/>
    <w:rsid w:val="00B52DBD"/>
    <w:rsid w:val="00B544FB"/>
    <w:rsid w:val="00B545E4"/>
    <w:rsid w:val="00B5481A"/>
    <w:rsid w:val="00B54871"/>
    <w:rsid w:val="00B55961"/>
    <w:rsid w:val="00B56A49"/>
    <w:rsid w:val="00B56C40"/>
    <w:rsid w:val="00B60677"/>
    <w:rsid w:val="00B623C6"/>
    <w:rsid w:val="00B627BC"/>
    <w:rsid w:val="00B62A44"/>
    <w:rsid w:val="00B65675"/>
    <w:rsid w:val="00B6719F"/>
    <w:rsid w:val="00B67698"/>
    <w:rsid w:val="00B720D8"/>
    <w:rsid w:val="00B733B6"/>
    <w:rsid w:val="00B73878"/>
    <w:rsid w:val="00B74EB1"/>
    <w:rsid w:val="00B77DC8"/>
    <w:rsid w:val="00B81AD8"/>
    <w:rsid w:val="00B831FB"/>
    <w:rsid w:val="00B8329C"/>
    <w:rsid w:val="00B83D8D"/>
    <w:rsid w:val="00B86D9B"/>
    <w:rsid w:val="00B87673"/>
    <w:rsid w:val="00B87A30"/>
    <w:rsid w:val="00B9049A"/>
    <w:rsid w:val="00B90581"/>
    <w:rsid w:val="00B92D0D"/>
    <w:rsid w:val="00B934A1"/>
    <w:rsid w:val="00B934D8"/>
    <w:rsid w:val="00B9492A"/>
    <w:rsid w:val="00B95E51"/>
    <w:rsid w:val="00B9698B"/>
    <w:rsid w:val="00B97457"/>
    <w:rsid w:val="00BA0254"/>
    <w:rsid w:val="00BA1522"/>
    <w:rsid w:val="00BA1B02"/>
    <w:rsid w:val="00BA2060"/>
    <w:rsid w:val="00BA2E97"/>
    <w:rsid w:val="00BA32A8"/>
    <w:rsid w:val="00BA3BD5"/>
    <w:rsid w:val="00BA3EE1"/>
    <w:rsid w:val="00BA446E"/>
    <w:rsid w:val="00BA5607"/>
    <w:rsid w:val="00BA6D4A"/>
    <w:rsid w:val="00BA6FC1"/>
    <w:rsid w:val="00BA77A2"/>
    <w:rsid w:val="00BB122B"/>
    <w:rsid w:val="00BB19A6"/>
    <w:rsid w:val="00BB5DD0"/>
    <w:rsid w:val="00BB5F38"/>
    <w:rsid w:val="00BB7A0C"/>
    <w:rsid w:val="00BC06AB"/>
    <w:rsid w:val="00BC15FD"/>
    <w:rsid w:val="00BC4037"/>
    <w:rsid w:val="00BC4158"/>
    <w:rsid w:val="00BC4EB3"/>
    <w:rsid w:val="00BC5D19"/>
    <w:rsid w:val="00BC628D"/>
    <w:rsid w:val="00BC705E"/>
    <w:rsid w:val="00BC7684"/>
    <w:rsid w:val="00BD0F3F"/>
    <w:rsid w:val="00BD28FB"/>
    <w:rsid w:val="00BD2D2D"/>
    <w:rsid w:val="00BD2F6A"/>
    <w:rsid w:val="00BD33F4"/>
    <w:rsid w:val="00BD53E7"/>
    <w:rsid w:val="00BD54A8"/>
    <w:rsid w:val="00BD63B4"/>
    <w:rsid w:val="00BD6AAE"/>
    <w:rsid w:val="00BD7971"/>
    <w:rsid w:val="00BE0926"/>
    <w:rsid w:val="00BE1263"/>
    <w:rsid w:val="00BE3876"/>
    <w:rsid w:val="00BE39EB"/>
    <w:rsid w:val="00BE3ACF"/>
    <w:rsid w:val="00BE53EA"/>
    <w:rsid w:val="00BE757F"/>
    <w:rsid w:val="00BF2A53"/>
    <w:rsid w:val="00BF2AAF"/>
    <w:rsid w:val="00BF3FEF"/>
    <w:rsid w:val="00BF5A93"/>
    <w:rsid w:val="00BF60AC"/>
    <w:rsid w:val="00BF745F"/>
    <w:rsid w:val="00C003EB"/>
    <w:rsid w:val="00C02925"/>
    <w:rsid w:val="00C0422A"/>
    <w:rsid w:val="00C0444F"/>
    <w:rsid w:val="00C070E7"/>
    <w:rsid w:val="00C116C8"/>
    <w:rsid w:val="00C11FA0"/>
    <w:rsid w:val="00C120DA"/>
    <w:rsid w:val="00C12F54"/>
    <w:rsid w:val="00C13029"/>
    <w:rsid w:val="00C1399D"/>
    <w:rsid w:val="00C13F90"/>
    <w:rsid w:val="00C143D2"/>
    <w:rsid w:val="00C15374"/>
    <w:rsid w:val="00C15389"/>
    <w:rsid w:val="00C155C9"/>
    <w:rsid w:val="00C15BE4"/>
    <w:rsid w:val="00C16559"/>
    <w:rsid w:val="00C16AA1"/>
    <w:rsid w:val="00C176A5"/>
    <w:rsid w:val="00C202A7"/>
    <w:rsid w:val="00C20805"/>
    <w:rsid w:val="00C20C0C"/>
    <w:rsid w:val="00C221E6"/>
    <w:rsid w:val="00C22631"/>
    <w:rsid w:val="00C253E2"/>
    <w:rsid w:val="00C26C43"/>
    <w:rsid w:val="00C275C4"/>
    <w:rsid w:val="00C33814"/>
    <w:rsid w:val="00C34A0F"/>
    <w:rsid w:val="00C34E31"/>
    <w:rsid w:val="00C3509A"/>
    <w:rsid w:val="00C35676"/>
    <w:rsid w:val="00C35B92"/>
    <w:rsid w:val="00C35D66"/>
    <w:rsid w:val="00C36A90"/>
    <w:rsid w:val="00C373BC"/>
    <w:rsid w:val="00C40262"/>
    <w:rsid w:val="00C41B3D"/>
    <w:rsid w:val="00C41DA3"/>
    <w:rsid w:val="00C42470"/>
    <w:rsid w:val="00C43E32"/>
    <w:rsid w:val="00C449D7"/>
    <w:rsid w:val="00C457DF"/>
    <w:rsid w:val="00C466B6"/>
    <w:rsid w:val="00C46D14"/>
    <w:rsid w:val="00C47942"/>
    <w:rsid w:val="00C50D52"/>
    <w:rsid w:val="00C538FE"/>
    <w:rsid w:val="00C55197"/>
    <w:rsid w:val="00C55D21"/>
    <w:rsid w:val="00C55DAB"/>
    <w:rsid w:val="00C56158"/>
    <w:rsid w:val="00C60C87"/>
    <w:rsid w:val="00C612CE"/>
    <w:rsid w:val="00C61A85"/>
    <w:rsid w:val="00C62111"/>
    <w:rsid w:val="00C64043"/>
    <w:rsid w:val="00C64C9C"/>
    <w:rsid w:val="00C6559B"/>
    <w:rsid w:val="00C65A6E"/>
    <w:rsid w:val="00C65DE2"/>
    <w:rsid w:val="00C66FC5"/>
    <w:rsid w:val="00C67A0E"/>
    <w:rsid w:val="00C70E71"/>
    <w:rsid w:val="00C725E4"/>
    <w:rsid w:val="00C726BF"/>
    <w:rsid w:val="00C7431A"/>
    <w:rsid w:val="00C75942"/>
    <w:rsid w:val="00C75C6A"/>
    <w:rsid w:val="00C765CD"/>
    <w:rsid w:val="00C76DC3"/>
    <w:rsid w:val="00C80A90"/>
    <w:rsid w:val="00C80B47"/>
    <w:rsid w:val="00C8102A"/>
    <w:rsid w:val="00C8502B"/>
    <w:rsid w:val="00C853C5"/>
    <w:rsid w:val="00C854F6"/>
    <w:rsid w:val="00C85A09"/>
    <w:rsid w:val="00C8620A"/>
    <w:rsid w:val="00C8690A"/>
    <w:rsid w:val="00C8734D"/>
    <w:rsid w:val="00C91076"/>
    <w:rsid w:val="00C93023"/>
    <w:rsid w:val="00C94638"/>
    <w:rsid w:val="00C94965"/>
    <w:rsid w:val="00C96627"/>
    <w:rsid w:val="00CA04F0"/>
    <w:rsid w:val="00CA34ED"/>
    <w:rsid w:val="00CA3B7E"/>
    <w:rsid w:val="00CA42A8"/>
    <w:rsid w:val="00CA51BF"/>
    <w:rsid w:val="00CA5908"/>
    <w:rsid w:val="00CB1A63"/>
    <w:rsid w:val="00CB4460"/>
    <w:rsid w:val="00CB4F5F"/>
    <w:rsid w:val="00CC01E4"/>
    <w:rsid w:val="00CC0D7B"/>
    <w:rsid w:val="00CC1115"/>
    <w:rsid w:val="00CC21CF"/>
    <w:rsid w:val="00CC30D5"/>
    <w:rsid w:val="00CC341A"/>
    <w:rsid w:val="00CC5618"/>
    <w:rsid w:val="00CC56B0"/>
    <w:rsid w:val="00CD06BB"/>
    <w:rsid w:val="00CD0C81"/>
    <w:rsid w:val="00CD31A1"/>
    <w:rsid w:val="00CD4197"/>
    <w:rsid w:val="00CD41FB"/>
    <w:rsid w:val="00CD4DA9"/>
    <w:rsid w:val="00CD638D"/>
    <w:rsid w:val="00CE097E"/>
    <w:rsid w:val="00CE2E3B"/>
    <w:rsid w:val="00CE6B2E"/>
    <w:rsid w:val="00CE7C05"/>
    <w:rsid w:val="00CF091B"/>
    <w:rsid w:val="00CF1D07"/>
    <w:rsid w:val="00CF2460"/>
    <w:rsid w:val="00CF5EED"/>
    <w:rsid w:val="00CF6770"/>
    <w:rsid w:val="00D00848"/>
    <w:rsid w:val="00D00ABA"/>
    <w:rsid w:val="00D00C4D"/>
    <w:rsid w:val="00D01BA4"/>
    <w:rsid w:val="00D02222"/>
    <w:rsid w:val="00D03B4E"/>
    <w:rsid w:val="00D06B18"/>
    <w:rsid w:val="00D06D34"/>
    <w:rsid w:val="00D0708D"/>
    <w:rsid w:val="00D07B07"/>
    <w:rsid w:val="00D1391C"/>
    <w:rsid w:val="00D13FA1"/>
    <w:rsid w:val="00D14429"/>
    <w:rsid w:val="00D15783"/>
    <w:rsid w:val="00D15E25"/>
    <w:rsid w:val="00D16CD0"/>
    <w:rsid w:val="00D1770F"/>
    <w:rsid w:val="00D21954"/>
    <w:rsid w:val="00D21DB3"/>
    <w:rsid w:val="00D23A4A"/>
    <w:rsid w:val="00D242BF"/>
    <w:rsid w:val="00D25C34"/>
    <w:rsid w:val="00D26EB7"/>
    <w:rsid w:val="00D30AC7"/>
    <w:rsid w:val="00D321D9"/>
    <w:rsid w:val="00D332E9"/>
    <w:rsid w:val="00D3357D"/>
    <w:rsid w:val="00D347D6"/>
    <w:rsid w:val="00D347E6"/>
    <w:rsid w:val="00D35F6F"/>
    <w:rsid w:val="00D37162"/>
    <w:rsid w:val="00D37FA4"/>
    <w:rsid w:val="00D4057C"/>
    <w:rsid w:val="00D40A3C"/>
    <w:rsid w:val="00D41463"/>
    <w:rsid w:val="00D42855"/>
    <w:rsid w:val="00D42A6D"/>
    <w:rsid w:val="00D43433"/>
    <w:rsid w:val="00D44CEE"/>
    <w:rsid w:val="00D473EC"/>
    <w:rsid w:val="00D507CA"/>
    <w:rsid w:val="00D54892"/>
    <w:rsid w:val="00D54C03"/>
    <w:rsid w:val="00D55193"/>
    <w:rsid w:val="00D55D67"/>
    <w:rsid w:val="00D56EB1"/>
    <w:rsid w:val="00D56EC0"/>
    <w:rsid w:val="00D5797E"/>
    <w:rsid w:val="00D60E25"/>
    <w:rsid w:val="00D61042"/>
    <w:rsid w:val="00D6154C"/>
    <w:rsid w:val="00D6356F"/>
    <w:rsid w:val="00D64010"/>
    <w:rsid w:val="00D64887"/>
    <w:rsid w:val="00D66B1D"/>
    <w:rsid w:val="00D72144"/>
    <w:rsid w:val="00D7426D"/>
    <w:rsid w:val="00D755B7"/>
    <w:rsid w:val="00D75AC1"/>
    <w:rsid w:val="00D75EE7"/>
    <w:rsid w:val="00D7661C"/>
    <w:rsid w:val="00D77F2E"/>
    <w:rsid w:val="00D80580"/>
    <w:rsid w:val="00D805A1"/>
    <w:rsid w:val="00D81062"/>
    <w:rsid w:val="00D81589"/>
    <w:rsid w:val="00D82BD3"/>
    <w:rsid w:val="00D85C46"/>
    <w:rsid w:val="00D87603"/>
    <w:rsid w:val="00D90101"/>
    <w:rsid w:val="00D90CD4"/>
    <w:rsid w:val="00D913FF"/>
    <w:rsid w:val="00D91630"/>
    <w:rsid w:val="00D923C0"/>
    <w:rsid w:val="00D95626"/>
    <w:rsid w:val="00D95E84"/>
    <w:rsid w:val="00D96E41"/>
    <w:rsid w:val="00D96F5C"/>
    <w:rsid w:val="00D97536"/>
    <w:rsid w:val="00DA0B93"/>
    <w:rsid w:val="00DA2A50"/>
    <w:rsid w:val="00DA6064"/>
    <w:rsid w:val="00DA71E6"/>
    <w:rsid w:val="00DB3315"/>
    <w:rsid w:val="00DB5B6E"/>
    <w:rsid w:val="00DB6FAA"/>
    <w:rsid w:val="00DB7DAF"/>
    <w:rsid w:val="00DC0AA0"/>
    <w:rsid w:val="00DC0B8C"/>
    <w:rsid w:val="00DC1CCC"/>
    <w:rsid w:val="00DC1FD6"/>
    <w:rsid w:val="00DC25D8"/>
    <w:rsid w:val="00DC25E6"/>
    <w:rsid w:val="00DC2790"/>
    <w:rsid w:val="00DC29D6"/>
    <w:rsid w:val="00DC3DE1"/>
    <w:rsid w:val="00DC40AB"/>
    <w:rsid w:val="00DC4D83"/>
    <w:rsid w:val="00DC6878"/>
    <w:rsid w:val="00DC7A4A"/>
    <w:rsid w:val="00DD0843"/>
    <w:rsid w:val="00DD0976"/>
    <w:rsid w:val="00DD0BA7"/>
    <w:rsid w:val="00DD1F34"/>
    <w:rsid w:val="00DD26C1"/>
    <w:rsid w:val="00DD2AB4"/>
    <w:rsid w:val="00DD4E3A"/>
    <w:rsid w:val="00DD64A7"/>
    <w:rsid w:val="00DD6A41"/>
    <w:rsid w:val="00DD7BED"/>
    <w:rsid w:val="00DE0692"/>
    <w:rsid w:val="00DE0CF8"/>
    <w:rsid w:val="00DE21B6"/>
    <w:rsid w:val="00DE2DEE"/>
    <w:rsid w:val="00DE3742"/>
    <w:rsid w:val="00DE387E"/>
    <w:rsid w:val="00DE4082"/>
    <w:rsid w:val="00DE75E5"/>
    <w:rsid w:val="00DF1702"/>
    <w:rsid w:val="00DF1CBD"/>
    <w:rsid w:val="00DF28BF"/>
    <w:rsid w:val="00DF2B2D"/>
    <w:rsid w:val="00DF5321"/>
    <w:rsid w:val="00DF57C8"/>
    <w:rsid w:val="00DF5BF1"/>
    <w:rsid w:val="00DF5E5D"/>
    <w:rsid w:val="00E017DB"/>
    <w:rsid w:val="00E03031"/>
    <w:rsid w:val="00E0430E"/>
    <w:rsid w:val="00E049CD"/>
    <w:rsid w:val="00E04EC9"/>
    <w:rsid w:val="00E078E6"/>
    <w:rsid w:val="00E07F4F"/>
    <w:rsid w:val="00E128BB"/>
    <w:rsid w:val="00E12F76"/>
    <w:rsid w:val="00E149D4"/>
    <w:rsid w:val="00E1686B"/>
    <w:rsid w:val="00E217B5"/>
    <w:rsid w:val="00E21EC6"/>
    <w:rsid w:val="00E22A7E"/>
    <w:rsid w:val="00E2487D"/>
    <w:rsid w:val="00E24E17"/>
    <w:rsid w:val="00E25D46"/>
    <w:rsid w:val="00E27E73"/>
    <w:rsid w:val="00E31676"/>
    <w:rsid w:val="00E324BD"/>
    <w:rsid w:val="00E32802"/>
    <w:rsid w:val="00E3358E"/>
    <w:rsid w:val="00E335C5"/>
    <w:rsid w:val="00E340AA"/>
    <w:rsid w:val="00E34512"/>
    <w:rsid w:val="00E34DFA"/>
    <w:rsid w:val="00E35A68"/>
    <w:rsid w:val="00E36021"/>
    <w:rsid w:val="00E36216"/>
    <w:rsid w:val="00E36987"/>
    <w:rsid w:val="00E36C3F"/>
    <w:rsid w:val="00E37A82"/>
    <w:rsid w:val="00E4247D"/>
    <w:rsid w:val="00E43E37"/>
    <w:rsid w:val="00E478FB"/>
    <w:rsid w:val="00E50E62"/>
    <w:rsid w:val="00E519F6"/>
    <w:rsid w:val="00E54DE1"/>
    <w:rsid w:val="00E54F7B"/>
    <w:rsid w:val="00E571F5"/>
    <w:rsid w:val="00E60D1E"/>
    <w:rsid w:val="00E63B04"/>
    <w:rsid w:val="00E66B38"/>
    <w:rsid w:val="00E67EE3"/>
    <w:rsid w:val="00E700B9"/>
    <w:rsid w:val="00E709F4"/>
    <w:rsid w:val="00E718D7"/>
    <w:rsid w:val="00E718DF"/>
    <w:rsid w:val="00E7201B"/>
    <w:rsid w:val="00E72752"/>
    <w:rsid w:val="00E73168"/>
    <w:rsid w:val="00E7326C"/>
    <w:rsid w:val="00E733CB"/>
    <w:rsid w:val="00E74431"/>
    <w:rsid w:val="00E7480B"/>
    <w:rsid w:val="00E755FC"/>
    <w:rsid w:val="00E77BA1"/>
    <w:rsid w:val="00E82E58"/>
    <w:rsid w:val="00E85420"/>
    <w:rsid w:val="00E8578B"/>
    <w:rsid w:val="00E85C41"/>
    <w:rsid w:val="00E86F97"/>
    <w:rsid w:val="00E9107E"/>
    <w:rsid w:val="00E91C9F"/>
    <w:rsid w:val="00E92846"/>
    <w:rsid w:val="00E93710"/>
    <w:rsid w:val="00E938F3"/>
    <w:rsid w:val="00E96F6C"/>
    <w:rsid w:val="00EA0786"/>
    <w:rsid w:val="00EA1B91"/>
    <w:rsid w:val="00EA210D"/>
    <w:rsid w:val="00EA3541"/>
    <w:rsid w:val="00EA3D7B"/>
    <w:rsid w:val="00EA5FFE"/>
    <w:rsid w:val="00EA6CAD"/>
    <w:rsid w:val="00EB0E8D"/>
    <w:rsid w:val="00EB17E7"/>
    <w:rsid w:val="00EB1ECB"/>
    <w:rsid w:val="00EB4CEA"/>
    <w:rsid w:val="00EB67B9"/>
    <w:rsid w:val="00EC02CB"/>
    <w:rsid w:val="00EC0592"/>
    <w:rsid w:val="00EC1698"/>
    <w:rsid w:val="00EC47B1"/>
    <w:rsid w:val="00EC5A60"/>
    <w:rsid w:val="00EC5E26"/>
    <w:rsid w:val="00EC6D16"/>
    <w:rsid w:val="00EC6DF0"/>
    <w:rsid w:val="00EC73A9"/>
    <w:rsid w:val="00EC77B0"/>
    <w:rsid w:val="00EC7E9B"/>
    <w:rsid w:val="00ED07E7"/>
    <w:rsid w:val="00ED2984"/>
    <w:rsid w:val="00ED2C60"/>
    <w:rsid w:val="00ED45F1"/>
    <w:rsid w:val="00ED5253"/>
    <w:rsid w:val="00ED52A0"/>
    <w:rsid w:val="00ED5C70"/>
    <w:rsid w:val="00ED6045"/>
    <w:rsid w:val="00ED60A7"/>
    <w:rsid w:val="00ED60FE"/>
    <w:rsid w:val="00ED7F4F"/>
    <w:rsid w:val="00EE1217"/>
    <w:rsid w:val="00EE1239"/>
    <w:rsid w:val="00EE290A"/>
    <w:rsid w:val="00EE2EB1"/>
    <w:rsid w:val="00EE5635"/>
    <w:rsid w:val="00EE5672"/>
    <w:rsid w:val="00EE5B05"/>
    <w:rsid w:val="00EE60BF"/>
    <w:rsid w:val="00EE654D"/>
    <w:rsid w:val="00EE6CF6"/>
    <w:rsid w:val="00EE6FCE"/>
    <w:rsid w:val="00EF07C7"/>
    <w:rsid w:val="00EF1DE9"/>
    <w:rsid w:val="00EF1E92"/>
    <w:rsid w:val="00EF1FB2"/>
    <w:rsid w:val="00EF39E2"/>
    <w:rsid w:val="00EF4B93"/>
    <w:rsid w:val="00EF4CFB"/>
    <w:rsid w:val="00EF543D"/>
    <w:rsid w:val="00EF6028"/>
    <w:rsid w:val="00EF7530"/>
    <w:rsid w:val="00F00492"/>
    <w:rsid w:val="00F01495"/>
    <w:rsid w:val="00F029F5"/>
    <w:rsid w:val="00F0380C"/>
    <w:rsid w:val="00F038DF"/>
    <w:rsid w:val="00F04BF3"/>
    <w:rsid w:val="00F06149"/>
    <w:rsid w:val="00F0628B"/>
    <w:rsid w:val="00F10CE9"/>
    <w:rsid w:val="00F11414"/>
    <w:rsid w:val="00F1229C"/>
    <w:rsid w:val="00F15264"/>
    <w:rsid w:val="00F15D05"/>
    <w:rsid w:val="00F1605D"/>
    <w:rsid w:val="00F1613A"/>
    <w:rsid w:val="00F2053F"/>
    <w:rsid w:val="00F214FC"/>
    <w:rsid w:val="00F2166A"/>
    <w:rsid w:val="00F21798"/>
    <w:rsid w:val="00F240D2"/>
    <w:rsid w:val="00F2576F"/>
    <w:rsid w:val="00F25C12"/>
    <w:rsid w:val="00F2620B"/>
    <w:rsid w:val="00F302DB"/>
    <w:rsid w:val="00F30C5E"/>
    <w:rsid w:val="00F318C5"/>
    <w:rsid w:val="00F31B40"/>
    <w:rsid w:val="00F31FE7"/>
    <w:rsid w:val="00F333BB"/>
    <w:rsid w:val="00F34B1A"/>
    <w:rsid w:val="00F35CD5"/>
    <w:rsid w:val="00F37524"/>
    <w:rsid w:val="00F4126C"/>
    <w:rsid w:val="00F423A2"/>
    <w:rsid w:val="00F47613"/>
    <w:rsid w:val="00F509DA"/>
    <w:rsid w:val="00F50C3C"/>
    <w:rsid w:val="00F50D54"/>
    <w:rsid w:val="00F52E3F"/>
    <w:rsid w:val="00F53988"/>
    <w:rsid w:val="00F53A32"/>
    <w:rsid w:val="00F54303"/>
    <w:rsid w:val="00F56830"/>
    <w:rsid w:val="00F60ADA"/>
    <w:rsid w:val="00F60B33"/>
    <w:rsid w:val="00F60F5F"/>
    <w:rsid w:val="00F62338"/>
    <w:rsid w:val="00F62F1A"/>
    <w:rsid w:val="00F634B6"/>
    <w:rsid w:val="00F65DEF"/>
    <w:rsid w:val="00F66220"/>
    <w:rsid w:val="00F6625E"/>
    <w:rsid w:val="00F665C3"/>
    <w:rsid w:val="00F67802"/>
    <w:rsid w:val="00F7052C"/>
    <w:rsid w:val="00F707CD"/>
    <w:rsid w:val="00F730E9"/>
    <w:rsid w:val="00F73E24"/>
    <w:rsid w:val="00F7611B"/>
    <w:rsid w:val="00F77390"/>
    <w:rsid w:val="00F80CCF"/>
    <w:rsid w:val="00F81938"/>
    <w:rsid w:val="00F82576"/>
    <w:rsid w:val="00F83164"/>
    <w:rsid w:val="00F83498"/>
    <w:rsid w:val="00F83ADE"/>
    <w:rsid w:val="00F90FF5"/>
    <w:rsid w:val="00F91505"/>
    <w:rsid w:val="00F918F1"/>
    <w:rsid w:val="00F93C62"/>
    <w:rsid w:val="00F941F1"/>
    <w:rsid w:val="00F94285"/>
    <w:rsid w:val="00F9428E"/>
    <w:rsid w:val="00F94990"/>
    <w:rsid w:val="00F94DCD"/>
    <w:rsid w:val="00F95A97"/>
    <w:rsid w:val="00FA0673"/>
    <w:rsid w:val="00FA0CB6"/>
    <w:rsid w:val="00FA134C"/>
    <w:rsid w:val="00FA1693"/>
    <w:rsid w:val="00FA339C"/>
    <w:rsid w:val="00FA4363"/>
    <w:rsid w:val="00FA6547"/>
    <w:rsid w:val="00FA6C08"/>
    <w:rsid w:val="00FA6F98"/>
    <w:rsid w:val="00FA7D4F"/>
    <w:rsid w:val="00FB036D"/>
    <w:rsid w:val="00FB1AF9"/>
    <w:rsid w:val="00FB1E81"/>
    <w:rsid w:val="00FB228F"/>
    <w:rsid w:val="00FB3C51"/>
    <w:rsid w:val="00FB4F3A"/>
    <w:rsid w:val="00FB4F83"/>
    <w:rsid w:val="00FB57E8"/>
    <w:rsid w:val="00FB7862"/>
    <w:rsid w:val="00FB7DD8"/>
    <w:rsid w:val="00FC1217"/>
    <w:rsid w:val="00FC2CDA"/>
    <w:rsid w:val="00FC3129"/>
    <w:rsid w:val="00FC3554"/>
    <w:rsid w:val="00FC4FC6"/>
    <w:rsid w:val="00FC535B"/>
    <w:rsid w:val="00FC67CA"/>
    <w:rsid w:val="00FC68EC"/>
    <w:rsid w:val="00FC6939"/>
    <w:rsid w:val="00FC6B54"/>
    <w:rsid w:val="00FC70C0"/>
    <w:rsid w:val="00FD1E6B"/>
    <w:rsid w:val="00FD3B3A"/>
    <w:rsid w:val="00FD3D80"/>
    <w:rsid w:val="00FD3F47"/>
    <w:rsid w:val="00FD5E1F"/>
    <w:rsid w:val="00FD6031"/>
    <w:rsid w:val="00FD77CD"/>
    <w:rsid w:val="00FE1815"/>
    <w:rsid w:val="00FE2146"/>
    <w:rsid w:val="00FE2763"/>
    <w:rsid w:val="00FE279F"/>
    <w:rsid w:val="00FE404B"/>
    <w:rsid w:val="00FE4B82"/>
    <w:rsid w:val="00FE4E48"/>
    <w:rsid w:val="00FE6DCB"/>
    <w:rsid w:val="00FE71A6"/>
    <w:rsid w:val="00FF063B"/>
    <w:rsid w:val="00FF2256"/>
    <w:rsid w:val="00FF2E25"/>
    <w:rsid w:val="00FF438C"/>
    <w:rsid w:val="00FF4F4D"/>
    <w:rsid w:val="00FF5CD9"/>
    <w:rsid w:val="00FF6337"/>
    <w:rsid w:val="00FF6473"/>
    <w:rsid w:val="00FF7AB2"/>
    <w:rsid w:val="00FF7C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30"/>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27147"/>
    <w:pPr>
      <w:tabs>
        <w:tab w:val="center" w:pos="4252"/>
        <w:tab w:val="right" w:pos="8504"/>
      </w:tabs>
    </w:pPr>
  </w:style>
  <w:style w:type="character" w:customStyle="1" w:styleId="EncabezadoCar">
    <w:name w:val="Encabezado Car"/>
    <w:basedOn w:val="Fuentedeprrafopredeter"/>
    <w:link w:val="Encabezado"/>
    <w:uiPriority w:val="99"/>
    <w:semiHidden/>
    <w:locked/>
    <w:rsid w:val="00C41B3D"/>
    <w:rPr>
      <w:rFonts w:cs="Times New Roman"/>
    </w:rPr>
  </w:style>
  <w:style w:type="paragraph" w:styleId="Piedepgina">
    <w:name w:val="footer"/>
    <w:basedOn w:val="Normal"/>
    <w:link w:val="PiedepginaCar"/>
    <w:uiPriority w:val="99"/>
    <w:rsid w:val="00527147"/>
    <w:pPr>
      <w:tabs>
        <w:tab w:val="center" w:pos="4252"/>
        <w:tab w:val="right" w:pos="8504"/>
      </w:tabs>
    </w:pPr>
  </w:style>
  <w:style w:type="character" w:customStyle="1" w:styleId="PiedepginaCar">
    <w:name w:val="Pie de página Car"/>
    <w:basedOn w:val="Fuentedeprrafopredeter"/>
    <w:link w:val="Piedepgina"/>
    <w:uiPriority w:val="99"/>
    <w:semiHidden/>
    <w:locked/>
    <w:rsid w:val="00C41B3D"/>
    <w:rPr>
      <w:rFonts w:cs="Times New Roman"/>
    </w:rPr>
  </w:style>
  <w:style w:type="character" w:styleId="Nmerodepgina">
    <w:name w:val="page number"/>
    <w:basedOn w:val="Fuentedeprrafopredeter"/>
    <w:uiPriority w:val="99"/>
    <w:rsid w:val="00527147"/>
    <w:rPr>
      <w:rFonts w:cs="Times New Roman"/>
    </w:rPr>
  </w:style>
  <w:style w:type="paragraph" w:customStyle="1" w:styleId="ANGELES">
    <w:name w:val="ANGELES"/>
    <w:basedOn w:val="Normal"/>
    <w:uiPriority w:val="99"/>
    <w:rsid w:val="00527147"/>
    <w:pPr>
      <w:framePr w:w="4349" w:h="1985" w:hSpace="238" w:vSpace="119" w:wrap="auto" w:vAnchor="page" w:hAnchor="page" w:x="5960" w:y="13065" w:anchorLock="1"/>
      <w:pBdr>
        <w:top w:val="single" w:sz="36" w:space="12" w:color="auto"/>
        <w:bottom w:val="single" w:sz="36" w:space="12" w:color="auto"/>
      </w:pBdr>
      <w:shd w:val="clear" w:color="auto" w:fill="C0C0C0"/>
      <w:tabs>
        <w:tab w:val="left" w:pos="-720"/>
      </w:tabs>
      <w:suppressAutoHyphens/>
      <w:spacing w:line="360" w:lineRule="auto"/>
      <w:jc w:val="center"/>
    </w:pPr>
    <w:rPr>
      <w:rFonts w:ascii="Arial" w:hAnsi="Arial" w:cs="Arial"/>
      <w:b/>
      <w:bCs/>
      <w:sz w:val="24"/>
      <w:szCs w:val="24"/>
      <w:lang w:val="es-ES_tradnl"/>
    </w:rPr>
  </w:style>
  <w:style w:type="paragraph" w:styleId="Textonotapie">
    <w:name w:val="footnote text"/>
    <w:basedOn w:val="Normal"/>
    <w:link w:val="TextonotapieCar"/>
    <w:uiPriority w:val="99"/>
    <w:semiHidden/>
    <w:rsid w:val="00527147"/>
  </w:style>
  <w:style w:type="character" w:customStyle="1" w:styleId="TextonotapieCar">
    <w:name w:val="Texto nota pie Car"/>
    <w:basedOn w:val="Fuentedeprrafopredeter"/>
    <w:link w:val="Textonotapie"/>
    <w:uiPriority w:val="99"/>
    <w:semiHidden/>
    <w:locked/>
    <w:rsid w:val="00C41B3D"/>
    <w:rPr>
      <w:rFonts w:cs="Times New Roman"/>
    </w:rPr>
  </w:style>
  <w:style w:type="character" w:styleId="Refdenotaalpie">
    <w:name w:val="footnote reference"/>
    <w:basedOn w:val="Fuentedeprrafopredeter"/>
    <w:uiPriority w:val="99"/>
    <w:semiHidden/>
    <w:rsid w:val="00527147"/>
    <w:rPr>
      <w:rFonts w:cs="Times New Roman"/>
      <w:vertAlign w:val="superscript"/>
    </w:rPr>
  </w:style>
  <w:style w:type="character" w:styleId="Textoennegrita">
    <w:name w:val="Strong"/>
    <w:basedOn w:val="Fuentedeprrafopredeter"/>
    <w:uiPriority w:val="99"/>
    <w:qFormat/>
    <w:rsid w:val="00527147"/>
    <w:rPr>
      <w:rFonts w:cs="Times New Roman"/>
      <w:b/>
      <w:bCs/>
    </w:rPr>
  </w:style>
  <w:style w:type="character" w:styleId="Hipervnculo">
    <w:name w:val="Hyperlink"/>
    <w:basedOn w:val="Fuentedeprrafopredeter"/>
    <w:uiPriority w:val="99"/>
    <w:rsid w:val="00527147"/>
    <w:rPr>
      <w:rFonts w:cs="Times New Roman"/>
      <w:color w:val="0000FF"/>
      <w:u w:val="single"/>
    </w:rPr>
  </w:style>
  <w:style w:type="paragraph" w:styleId="Textodeglobo">
    <w:name w:val="Balloon Text"/>
    <w:basedOn w:val="Normal"/>
    <w:link w:val="TextodegloboCar"/>
    <w:uiPriority w:val="99"/>
    <w:semiHidden/>
    <w:rsid w:val="00E718D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41B3D"/>
    <w:rPr>
      <w:rFonts w:cs="Times New Roman"/>
      <w:sz w:val="2"/>
      <w:szCs w:val="2"/>
    </w:rPr>
  </w:style>
  <w:style w:type="paragraph" w:styleId="Sangradetextonormal">
    <w:name w:val="Body Text Indent"/>
    <w:basedOn w:val="Normal"/>
    <w:link w:val="SangradetextonormalCar"/>
    <w:uiPriority w:val="99"/>
    <w:rsid w:val="0014417D"/>
    <w:pPr>
      <w:spacing w:after="120"/>
      <w:ind w:firstLine="992"/>
      <w:jc w:val="both"/>
    </w:pPr>
    <w:rPr>
      <w:rFonts w:ascii="Arial" w:hAnsi="Arial" w:cs="Arial"/>
      <w:sz w:val="24"/>
      <w:szCs w:val="24"/>
    </w:rPr>
  </w:style>
  <w:style w:type="character" w:customStyle="1" w:styleId="SangradetextonormalCar">
    <w:name w:val="Sangría de texto normal Car"/>
    <w:basedOn w:val="Fuentedeprrafopredeter"/>
    <w:link w:val="Sangradetextonormal"/>
    <w:uiPriority w:val="99"/>
    <w:semiHidden/>
    <w:locked/>
    <w:rsid w:val="00C41B3D"/>
    <w:rPr>
      <w:rFonts w:cs="Times New Roman"/>
    </w:rPr>
  </w:style>
  <w:style w:type="paragraph" w:styleId="Textoindependiente">
    <w:name w:val="Body Text"/>
    <w:basedOn w:val="Normal"/>
    <w:link w:val="TextoindependienteCar"/>
    <w:uiPriority w:val="99"/>
    <w:rsid w:val="0014417D"/>
    <w:pPr>
      <w:jc w:val="both"/>
    </w:pPr>
    <w:rPr>
      <w:rFonts w:ascii="Univers" w:hAnsi="Univers" w:cs="Univers"/>
      <w:b/>
      <w:bCs/>
      <w:sz w:val="22"/>
      <w:szCs w:val="22"/>
      <w:lang w:val="es-ES_tradnl"/>
    </w:rPr>
  </w:style>
  <w:style w:type="character" w:customStyle="1" w:styleId="TextoindependienteCar">
    <w:name w:val="Texto independiente Car"/>
    <w:basedOn w:val="Fuentedeprrafopredeter"/>
    <w:link w:val="Textoindependiente"/>
    <w:uiPriority w:val="99"/>
    <w:semiHidden/>
    <w:locked/>
    <w:rsid w:val="00C41B3D"/>
    <w:rPr>
      <w:rFonts w:cs="Times New Roman"/>
    </w:rPr>
  </w:style>
  <w:style w:type="paragraph" w:styleId="Textoindependiente2">
    <w:name w:val="Body Text 2"/>
    <w:basedOn w:val="Normal"/>
    <w:link w:val="Textoindependiente2Car"/>
    <w:uiPriority w:val="99"/>
    <w:rsid w:val="0014417D"/>
    <w:pPr>
      <w:spacing w:line="360" w:lineRule="auto"/>
      <w:jc w:val="both"/>
    </w:pPr>
    <w:rPr>
      <w:rFonts w:ascii="Arial" w:hAnsi="Arial" w:cs="Arial"/>
    </w:rPr>
  </w:style>
  <w:style w:type="character" w:customStyle="1" w:styleId="Textoindependiente2Car">
    <w:name w:val="Texto independiente 2 Car"/>
    <w:basedOn w:val="Fuentedeprrafopredeter"/>
    <w:link w:val="Textoindependiente2"/>
    <w:uiPriority w:val="99"/>
    <w:semiHidden/>
    <w:locked/>
    <w:rsid w:val="00C41B3D"/>
    <w:rPr>
      <w:rFonts w:cs="Times New Roman"/>
    </w:rPr>
  </w:style>
  <w:style w:type="paragraph" w:styleId="Textoindependiente3">
    <w:name w:val="Body Text 3"/>
    <w:basedOn w:val="Normal"/>
    <w:link w:val="Textoindependiente3Car"/>
    <w:uiPriority w:val="99"/>
    <w:rsid w:val="0014417D"/>
    <w:pPr>
      <w:spacing w:line="320" w:lineRule="exact"/>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semiHidden/>
    <w:locked/>
    <w:rsid w:val="00C41B3D"/>
    <w:rPr>
      <w:rFonts w:cs="Times New Roman"/>
      <w:sz w:val="16"/>
      <w:szCs w:val="16"/>
    </w:rPr>
  </w:style>
  <w:style w:type="paragraph" w:styleId="NormalWeb">
    <w:name w:val="Normal (Web)"/>
    <w:basedOn w:val="Normal"/>
    <w:uiPriority w:val="99"/>
    <w:rsid w:val="006304E3"/>
    <w:pPr>
      <w:spacing w:before="100" w:beforeAutospacing="1" w:after="100" w:afterAutospacing="1"/>
      <w:jc w:val="both"/>
    </w:pPr>
    <w:rPr>
      <w:rFonts w:ascii="Verdana" w:hAnsi="Verdana" w:cs="Verdana"/>
      <w:sz w:val="14"/>
      <w:szCs w:val="14"/>
    </w:rPr>
  </w:style>
  <w:style w:type="paragraph" w:styleId="Mapadeldocumento">
    <w:name w:val="Document Map"/>
    <w:basedOn w:val="Normal"/>
    <w:link w:val="MapadeldocumentoCar"/>
    <w:uiPriority w:val="99"/>
    <w:semiHidden/>
    <w:rsid w:val="000D6DAE"/>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C41B3D"/>
    <w:rPr>
      <w:rFonts w:cs="Times New Roman"/>
      <w:sz w:val="2"/>
      <w:szCs w:val="2"/>
    </w:rPr>
  </w:style>
  <w:style w:type="paragraph" w:customStyle="1" w:styleId="Lneadeasunto">
    <w:name w:val="Línea de asunto"/>
    <w:basedOn w:val="Normal"/>
    <w:uiPriority w:val="99"/>
    <w:rsid w:val="00114420"/>
    <w:pPr>
      <w:spacing w:after="200"/>
    </w:pPr>
    <w:rPr>
      <w:rFonts w:ascii="Cambria" w:hAnsi="Cambria" w:cs="Cambria"/>
      <w:sz w:val="24"/>
      <w:szCs w:val="24"/>
      <w:lang w:val="es-ES_tradnl" w:eastAsia="en-US"/>
    </w:rPr>
  </w:style>
  <w:style w:type="paragraph" w:customStyle="1" w:styleId="Style1">
    <w:name w:val="Style 1"/>
    <w:basedOn w:val="Normal"/>
    <w:uiPriority w:val="99"/>
    <w:rsid w:val="00750F37"/>
    <w:pPr>
      <w:widowControl w:val="0"/>
      <w:autoSpaceDE w:val="0"/>
      <w:autoSpaceDN w:val="0"/>
      <w:spacing w:before="180" w:line="264" w:lineRule="exact"/>
      <w:ind w:left="792"/>
      <w:jc w:val="both"/>
    </w:pPr>
    <w:rPr>
      <w:sz w:val="24"/>
      <w:szCs w:val="24"/>
      <w:lang w:val="en-US"/>
    </w:rPr>
  </w:style>
  <w:style w:type="paragraph" w:customStyle="1" w:styleId="Default">
    <w:name w:val="Default"/>
    <w:uiPriority w:val="99"/>
    <w:rsid w:val="00990F7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74289032">
      <w:marLeft w:val="0"/>
      <w:marRight w:val="0"/>
      <w:marTop w:val="0"/>
      <w:marBottom w:val="0"/>
      <w:divBdr>
        <w:top w:val="none" w:sz="0" w:space="0" w:color="auto"/>
        <w:left w:val="none" w:sz="0" w:space="0" w:color="auto"/>
        <w:bottom w:val="none" w:sz="0" w:space="0" w:color="auto"/>
        <w:right w:val="none" w:sz="0" w:space="0" w:color="auto"/>
      </w:divBdr>
    </w:div>
    <w:div w:id="274289033">
      <w:marLeft w:val="0"/>
      <w:marRight w:val="0"/>
      <w:marTop w:val="0"/>
      <w:marBottom w:val="0"/>
      <w:divBdr>
        <w:top w:val="none" w:sz="0" w:space="0" w:color="auto"/>
        <w:left w:val="none" w:sz="0" w:space="0" w:color="auto"/>
        <w:bottom w:val="none" w:sz="0" w:space="0" w:color="auto"/>
        <w:right w:val="none" w:sz="0" w:space="0" w:color="auto"/>
      </w:divBdr>
    </w:div>
    <w:div w:id="274289034">
      <w:marLeft w:val="0"/>
      <w:marRight w:val="0"/>
      <w:marTop w:val="0"/>
      <w:marBottom w:val="0"/>
      <w:divBdr>
        <w:top w:val="none" w:sz="0" w:space="0" w:color="auto"/>
        <w:left w:val="none" w:sz="0" w:space="0" w:color="auto"/>
        <w:bottom w:val="none" w:sz="0" w:space="0" w:color="auto"/>
        <w:right w:val="none" w:sz="0" w:space="0" w:color="auto"/>
      </w:divBdr>
    </w:div>
    <w:div w:id="274289035">
      <w:marLeft w:val="0"/>
      <w:marRight w:val="0"/>
      <w:marTop w:val="0"/>
      <w:marBottom w:val="0"/>
      <w:divBdr>
        <w:top w:val="none" w:sz="0" w:space="0" w:color="auto"/>
        <w:left w:val="none" w:sz="0" w:space="0" w:color="auto"/>
        <w:bottom w:val="none" w:sz="0" w:space="0" w:color="auto"/>
        <w:right w:val="none" w:sz="0" w:space="0" w:color="auto"/>
      </w:divBdr>
    </w:div>
    <w:div w:id="274289036">
      <w:marLeft w:val="0"/>
      <w:marRight w:val="0"/>
      <w:marTop w:val="0"/>
      <w:marBottom w:val="0"/>
      <w:divBdr>
        <w:top w:val="none" w:sz="0" w:space="0" w:color="auto"/>
        <w:left w:val="none" w:sz="0" w:space="0" w:color="auto"/>
        <w:bottom w:val="none" w:sz="0" w:space="0" w:color="auto"/>
        <w:right w:val="none" w:sz="0" w:space="0" w:color="auto"/>
      </w:divBdr>
    </w:div>
    <w:div w:id="274289037">
      <w:marLeft w:val="0"/>
      <w:marRight w:val="0"/>
      <w:marTop w:val="0"/>
      <w:marBottom w:val="0"/>
      <w:divBdr>
        <w:top w:val="none" w:sz="0" w:space="0" w:color="auto"/>
        <w:left w:val="none" w:sz="0" w:space="0" w:color="auto"/>
        <w:bottom w:val="none" w:sz="0" w:space="0" w:color="auto"/>
        <w:right w:val="none" w:sz="0" w:space="0" w:color="auto"/>
      </w:divBdr>
    </w:div>
    <w:div w:id="274289038">
      <w:marLeft w:val="0"/>
      <w:marRight w:val="0"/>
      <w:marTop w:val="0"/>
      <w:marBottom w:val="0"/>
      <w:divBdr>
        <w:top w:val="none" w:sz="0" w:space="0" w:color="auto"/>
        <w:left w:val="none" w:sz="0" w:space="0" w:color="auto"/>
        <w:bottom w:val="none" w:sz="0" w:space="0" w:color="auto"/>
        <w:right w:val="none" w:sz="0" w:space="0" w:color="auto"/>
      </w:divBdr>
    </w:div>
    <w:div w:id="274289039">
      <w:marLeft w:val="0"/>
      <w:marRight w:val="0"/>
      <w:marTop w:val="0"/>
      <w:marBottom w:val="0"/>
      <w:divBdr>
        <w:top w:val="none" w:sz="0" w:space="0" w:color="auto"/>
        <w:left w:val="none" w:sz="0" w:space="0" w:color="auto"/>
        <w:bottom w:val="none" w:sz="0" w:space="0" w:color="auto"/>
        <w:right w:val="none" w:sz="0" w:space="0" w:color="auto"/>
      </w:divBdr>
    </w:div>
    <w:div w:id="274289040">
      <w:marLeft w:val="0"/>
      <w:marRight w:val="0"/>
      <w:marTop w:val="0"/>
      <w:marBottom w:val="0"/>
      <w:divBdr>
        <w:top w:val="none" w:sz="0" w:space="0" w:color="auto"/>
        <w:left w:val="none" w:sz="0" w:space="0" w:color="auto"/>
        <w:bottom w:val="none" w:sz="0" w:space="0" w:color="auto"/>
        <w:right w:val="none" w:sz="0" w:space="0" w:color="auto"/>
      </w:divBdr>
    </w:div>
    <w:div w:id="274289041">
      <w:marLeft w:val="0"/>
      <w:marRight w:val="0"/>
      <w:marTop w:val="0"/>
      <w:marBottom w:val="0"/>
      <w:divBdr>
        <w:top w:val="none" w:sz="0" w:space="0" w:color="auto"/>
        <w:left w:val="none" w:sz="0" w:space="0" w:color="auto"/>
        <w:bottom w:val="none" w:sz="0" w:space="0" w:color="auto"/>
        <w:right w:val="none" w:sz="0" w:space="0" w:color="auto"/>
      </w:divBdr>
    </w:div>
    <w:div w:id="274289042">
      <w:marLeft w:val="0"/>
      <w:marRight w:val="0"/>
      <w:marTop w:val="0"/>
      <w:marBottom w:val="0"/>
      <w:divBdr>
        <w:top w:val="none" w:sz="0" w:space="0" w:color="auto"/>
        <w:left w:val="none" w:sz="0" w:space="0" w:color="auto"/>
        <w:bottom w:val="none" w:sz="0" w:space="0" w:color="auto"/>
        <w:right w:val="none" w:sz="0" w:space="0" w:color="auto"/>
      </w:divBdr>
    </w:div>
    <w:div w:id="274289043">
      <w:marLeft w:val="0"/>
      <w:marRight w:val="0"/>
      <w:marTop w:val="0"/>
      <w:marBottom w:val="0"/>
      <w:divBdr>
        <w:top w:val="none" w:sz="0" w:space="0" w:color="auto"/>
        <w:left w:val="none" w:sz="0" w:space="0" w:color="auto"/>
        <w:bottom w:val="none" w:sz="0" w:space="0" w:color="auto"/>
        <w:right w:val="none" w:sz="0" w:space="0" w:color="auto"/>
      </w:divBdr>
    </w:div>
    <w:div w:id="274289044">
      <w:marLeft w:val="0"/>
      <w:marRight w:val="0"/>
      <w:marTop w:val="0"/>
      <w:marBottom w:val="0"/>
      <w:divBdr>
        <w:top w:val="none" w:sz="0" w:space="0" w:color="auto"/>
        <w:left w:val="none" w:sz="0" w:space="0" w:color="auto"/>
        <w:bottom w:val="none" w:sz="0" w:space="0" w:color="auto"/>
        <w:right w:val="none" w:sz="0" w:space="0" w:color="auto"/>
      </w:divBdr>
    </w:div>
    <w:div w:id="274289045">
      <w:marLeft w:val="0"/>
      <w:marRight w:val="0"/>
      <w:marTop w:val="0"/>
      <w:marBottom w:val="0"/>
      <w:divBdr>
        <w:top w:val="none" w:sz="0" w:space="0" w:color="auto"/>
        <w:left w:val="none" w:sz="0" w:space="0" w:color="auto"/>
        <w:bottom w:val="none" w:sz="0" w:space="0" w:color="auto"/>
        <w:right w:val="none" w:sz="0" w:space="0" w:color="auto"/>
      </w:divBdr>
    </w:div>
    <w:div w:id="274289046">
      <w:marLeft w:val="0"/>
      <w:marRight w:val="0"/>
      <w:marTop w:val="0"/>
      <w:marBottom w:val="0"/>
      <w:divBdr>
        <w:top w:val="none" w:sz="0" w:space="0" w:color="auto"/>
        <w:left w:val="none" w:sz="0" w:space="0" w:color="auto"/>
        <w:bottom w:val="none" w:sz="0" w:space="0" w:color="auto"/>
        <w:right w:val="none" w:sz="0" w:space="0" w:color="auto"/>
      </w:divBdr>
    </w:div>
    <w:div w:id="274289047">
      <w:marLeft w:val="0"/>
      <w:marRight w:val="0"/>
      <w:marTop w:val="0"/>
      <w:marBottom w:val="0"/>
      <w:divBdr>
        <w:top w:val="none" w:sz="0" w:space="0" w:color="auto"/>
        <w:left w:val="none" w:sz="0" w:space="0" w:color="auto"/>
        <w:bottom w:val="none" w:sz="0" w:space="0" w:color="auto"/>
        <w:right w:val="none" w:sz="0" w:space="0" w:color="auto"/>
      </w:divBdr>
    </w:div>
    <w:div w:id="274289048">
      <w:marLeft w:val="0"/>
      <w:marRight w:val="0"/>
      <w:marTop w:val="0"/>
      <w:marBottom w:val="0"/>
      <w:divBdr>
        <w:top w:val="none" w:sz="0" w:space="0" w:color="auto"/>
        <w:left w:val="none" w:sz="0" w:space="0" w:color="auto"/>
        <w:bottom w:val="none" w:sz="0" w:space="0" w:color="auto"/>
        <w:right w:val="none" w:sz="0" w:space="0" w:color="auto"/>
      </w:divBdr>
    </w:div>
    <w:div w:id="274289049">
      <w:marLeft w:val="0"/>
      <w:marRight w:val="0"/>
      <w:marTop w:val="0"/>
      <w:marBottom w:val="0"/>
      <w:divBdr>
        <w:top w:val="none" w:sz="0" w:space="0" w:color="auto"/>
        <w:left w:val="none" w:sz="0" w:space="0" w:color="auto"/>
        <w:bottom w:val="none" w:sz="0" w:space="0" w:color="auto"/>
        <w:right w:val="none" w:sz="0" w:space="0" w:color="auto"/>
      </w:divBdr>
    </w:div>
    <w:div w:id="274289050">
      <w:marLeft w:val="0"/>
      <w:marRight w:val="0"/>
      <w:marTop w:val="0"/>
      <w:marBottom w:val="0"/>
      <w:divBdr>
        <w:top w:val="none" w:sz="0" w:space="0" w:color="auto"/>
        <w:left w:val="none" w:sz="0" w:space="0" w:color="auto"/>
        <w:bottom w:val="none" w:sz="0" w:space="0" w:color="auto"/>
        <w:right w:val="none" w:sz="0" w:space="0" w:color="auto"/>
      </w:divBdr>
    </w:div>
    <w:div w:id="274289051">
      <w:marLeft w:val="0"/>
      <w:marRight w:val="0"/>
      <w:marTop w:val="0"/>
      <w:marBottom w:val="0"/>
      <w:divBdr>
        <w:top w:val="none" w:sz="0" w:space="0" w:color="auto"/>
        <w:left w:val="none" w:sz="0" w:space="0" w:color="auto"/>
        <w:bottom w:val="none" w:sz="0" w:space="0" w:color="auto"/>
        <w:right w:val="none" w:sz="0" w:space="0" w:color="auto"/>
      </w:divBdr>
    </w:div>
    <w:div w:id="274289052">
      <w:marLeft w:val="0"/>
      <w:marRight w:val="0"/>
      <w:marTop w:val="0"/>
      <w:marBottom w:val="0"/>
      <w:divBdr>
        <w:top w:val="none" w:sz="0" w:space="0" w:color="auto"/>
        <w:left w:val="none" w:sz="0" w:space="0" w:color="auto"/>
        <w:bottom w:val="none" w:sz="0" w:space="0" w:color="auto"/>
        <w:right w:val="none" w:sz="0" w:space="0" w:color="auto"/>
      </w:divBdr>
    </w:div>
    <w:div w:id="274289053">
      <w:marLeft w:val="0"/>
      <w:marRight w:val="0"/>
      <w:marTop w:val="0"/>
      <w:marBottom w:val="0"/>
      <w:divBdr>
        <w:top w:val="none" w:sz="0" w:space="0" w:color="auto"/>
        <w:left w:val="none" w:sz="0" w:space="0" w:color="auto"/>
        <w:bottom w:val="none" w:sz="0" w:space="0" w:color="auto"/>
        <w:right w:val="none" w:sz="0" w:space="0" w:color="auto"/>
      </w:divBdr>
    </w:div>
    <w:div w:id="274289054">
      <w:marLeft w:val="0"/>
      <w:marRight w:val="0"/>
      <w:marTop w:val="0"/>
      <w:marBottom w:val="0"/>
      <w:divBdr>
        <w:top w:val="none" w:sz="0" w:space="0" w:color="auto"/>
        <w:left w:val="none" w:sz="0" w:space="0" w:color="auto"/>
        <w:bottom w:val="none" w:sz="0" w:space="0" w:color="auto"/>
        <w:right w:val="none" w:sz="0" w:space="0" w:color="auto"/>
      </w:divBdr>
    </w:div>
    <w:div w:id="274289055">
      <w:marLeft w:val="0"/>
      <w:marRight w:val="0"/>
      <w:marTop w:val="0"/>
      <w:marBottom w:val="0"/>
      <w:divBdr>
        <w:top w:val="none" w:sz="0" w:space="0" w:color="auto"/>
        <w:left w:val="none" w:sz="0" w:space="0" w:color="auto"/>
        <w:bottom w:val="none" w:sz="0" w:space="0" w:color="auto"/>
        <w:right w:val="none" w:sz="0" w:space="0" w:color="auto"/>
      </w:divBdr>
    </w:div>
    <w:div w:id="274289056">
      <w:marLeft w:val="0"/>
      <w:marRight w:val="0"/>
      <w:marTop w:val="0"/>
      <w:marBottom w:val="0"/>
      <w:divBdr>
        <w:top w:val="none" w:sz="0" w:space="0" w:color="auto"/>
        <w:left w:val="none" w:sz="0" w:space="0" w:color="auto"/>
        <w:bottom w:val="none" w:sz="0" w:space="0" w:color="auto"/>
        <w:right w:val="none" w:sz="0" w:space="0" w:color="auto"/>
      </w:divBdr>
    </w:div>
    <w:div w:id="274289057">
      <w:marLeft w:val="0"/>
      <w:marRight w:val="0"/>
      <w:marTop w:val="0"/>
      <w:marBottom w:val="0"/>
      <w:divBdr>
        <w:top w:val="none" w:sz="0" w:space="0" w:color="auto"/>
        <w:left w:val="none" w:sz="0" w:space="0" w:color="auto"/>
        <w:bottom w:val="none" w:sz="0" w:space="0" w:color="auto"/>
        <w:right w:val="none" w:sz="0" w:space="0" w:color="auto"/>
      </w:divBdr>
    </w:div>
    <w:div w:id="274289058">
      <w:marLeft w:val="0"/>
      <w:marRight w:val="0"/>
      <w:marTop w:val="0"/>
      <w:marBottom w:val="0"/>
      <w:divBdr>
        <w:top w:val="none" w:sz="0" w:space="0" w:color="auto"/>
        <w:left w:val="none" w:sz="0" w:space="0" w:color="auto"/>
        <w:bottom w:val="none" w:sz="0" w:space="0" w:color="auto"/>
        <w:right w:val="none" w:sz="0" w:space="0" w:color="auto"/>
      </w:divBdr>
    </w:div>
    <w:div w:id="274289059">
      <w:marLeft w:val="0"/>
      <w:marRight w:val="0"/>
      <w:marTop w:val="0"/>
      <w:marBottom w:val="0"/>
      <w:divBdr>
        <w:top w:val="none" w:sz="0" w:space="0" w:color="auto"/>
        <w:left w:val="none" w:sz="0" w:space="0" w:color="auto"/>
        <w:bottom w:val="none" w:sz="0" w:space="0" w:color="auto"/>
        <w:right w:val="none" w:sz="0" w:space="0" w:color="auto"/>
      </w:divBdr>
    </w:div>
    <w:div w:id="274289060">
      <w:marLeft w:val="0"/>
      <w:marRight w:val="0"/>
      <w:marTop w:val="0"/>
      <w:marBottom w:val="0"/>
      <w:divBdr>
        <w:top w:val="none" w:sz="0" w:space="0" w:color="auto"/>
        <w:left w:val="none" w:sz="0" w:space="0" w:color="auto"/>
        <w:bottom w:val="none" w:sz="0" w:space="0" w:color="auto"/>
        <w:right w:val="none" w:sz="0" w:space="0" w:color="auto"/>
      </w:divBdr>
    </w:div>
    <w:div w:id="274289061">
      <w:marLeft w:val="0"/>
      <w:marRight w:val="0"/>
      <w:marTop w:val="0"/>
      <w:marBottom w:val="0"/>
      <w:divBdr>
        <w:top w:val="none" w:sz="0" w:space="0" w:color="auto"/>
        <w:left w:val="none" w:sz="0" w:space="0" w:color="auto"/>
        <w:bottom w:val="none" w:sz="0" w:space="0" w:color="auto"/>
        <w:right w:val="none" w:sz="0" w:space="0" w:color="auto"/>
      </w:divBdr>
    </w:div>
    <w:div w:id="274289062">
      <w:marLeft w:val="0"/>
      <w:marRight w:val="0"/>
      <w:marTop w:val="0"/>
      <w:marBottom w:val="0"/>
      <w:divBdr>
        <w:top w:val="none" w:sz="0" w:space="0" w:color="auto"/>
        <w:left w:val="none" w:sz="0" w:space="0" w:color="auto"/>
        <w:bottom w:val="none" w:sz="0" w:space="0" w:color="auto"/>
        <w:right w:val="none" w:sz="0" w:space="0" w:color="auto"/>
      </w:divBdr>
    </w:div>
    <w:div w:id="274289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8323</Words>
  <Characters>43358</Characters>
  <Application>Microsoft Office Word</Application>
  <DocSecurity>0</DocSecurity>
  <Lines>361</Lines>
  <Paragraphs>103</Paragraphs>
  <ScaleCrop>false</ScaleCrop>
  <Company>CABILDO DE TENERIFE</Company>
  <LinksUpToDate>false</LinksUpToDate>
  <CharactersWithSpaces>51578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Rogelio Padrón Coello</dc:creator>
  <cp:lastModifiedBy>Cabildo Insular de Tenerife</cp:lastModifiedBy>
  <cp:revision>3</cp:revision>
  <cp:lastPrinted>2017-11-26T18:04:00Z</cp:lastPrinted>
  <dcterms:created xsi:type="dcterms:W3CDTF">2018-03-08T14:23:00Z</dcterms:created>
  <dcterms:modified xsi:type="dcterms:W3CDTF">2018-03-08T14:25:00Z</dcterms:modified>
</cp:coreProperties>
</file>